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D414" w14:textId="009465FA" w:rsidR="004965DE" w:rsidRPr="003A2EB4" w:rsidRDefault="001D4B84" w:rsidP="007A2842">
      <w:pPr>
        <w:pStyle w:val="Heading1"/>
        <w:rPr>
          <w:color w:val="auto"/>
        </w:rPr>
      </w:pPr>
      <w:r w:rsidRPr="003A2EB4">
        <w:rPr>
          <w:color w:val="auto"/>
        </w:rPr>
        <w:t xml:space="preserve">Te Aorerekura Action Plan 2025-2030: </w:t>
      </w:r>
      <w:r w:rsidR="00A43438" w:rsidRPr="003A2EB4">
        <w:rPr>
          <w:color w:val="auto"/>
        </w:rPr>
        <w:br/>
      </w:r>
      <w:r w:rsidRPr="003A2EB4">
        <w:rPr>
          <w:color w:val="auto"/>
        </w:rPr>
        <w:t xml:space="preserve">Breaking </w:t>
      </w:r>
      <w:r w:rsidR="00D65568" w:rsidRPr="003A2EB4">
        <w:rPr>
          <w:color w:val="auto"/>
        </w:rPr>
        <w:t>t</w:t>
      </w:r>
      <w:r w:rsidRPr="003A2EB4">
        <w:rPr>
          <w:color w:val="auto"/>
        </w:rPr>
        <w:t xml:space="preserve">he Cycle </w:t>
      </w:r>
      <w:r w:rsidR="009E097E" w:rsidRPr="003A2EB4">
        <w:rPr>
          <w:color w:val="auto"/>
        </w:rPr>
        <w:t>o</w:t>
      </w:r>
      <w:r w:rsidRPr="003A2EB4">
        <w:rPr>
          <w:color w:val="auto"/>
        </w:rPr>
        <w:t>f Violence</w:t>
      </w:r>
    </w:p>
    <w:p w14:paraId="31B4CCFF" w14:textId="77777777" w:rsidR="00277BA3" w:rsidRPr="003A2EB4" w:rsidRDefault="002C2A1F" w:rsidP="00E617D6">
      <w:pPr>
        <w:pStyle w:val="Heading1"/>
      </w:pPr>
      <w:r w:rsidRPr="003A2EB4">
        <w:t xml:space="preserve">Minister’s </w:t>
      </w:r>
      <w:r w:rsidR="00AF1878" w:rsidRPr="003A2EB4">
        <w:t>f</w:t>
      </w:r>
      <w:r w:rsidRPr="003A2EB4">
        <w:t>oreword</w:t>
      </w:r>
    </w:p>
    <w:p w14:paraId="17E4A4AE" w14:textId="4B9BC3D6" w:rsidR="002C2A1F" w:rsidRPr="003A2EB4" w:rsidRDefault="002C2A1F" w:rsidP="00E05BEE">
      <w:r w:rsidRPr="003A2EB4">
        <w:t xml:space="preserve">I am determined to do everything in my power to break the cycle of inter-generational family violence and sexual violence. Ensuring that all New Zealanders can live free from violence, are thriving, safe, and supported, is at the heart of this Action Plan. </w:t>
      </w:r>
    </w:p>
    <w:p w14:paraId="398E7583" w14:textId="77777777" w:rsidR="002C2A1F" w:rsidRPr="003A2EB4" w:rsidRDefault="002C2A1F" w:rsidP="00E05BEE">
      <w:r w:rsidRPr="003A2EB4">
        <w:t xml:space="preserve">As a government, we have set a clear target to reduce the number of people who are victims of family violence and sexual violence. </w:t>
      </w:r>
    </w:p>
    <w:p w14:paraId="293EF550" w14:textId="77777777" w:rsidR="002C2A1F" w:rsidRPr="003A2EB4" w:rsidRDefault="002C2A1F" w:rsidP="00E05BEE">
      <w:r w:rsidRPr="003A2EB4">
        <w:t xml:space="preserve">Having spoken to many organisations doing good work at the forefront of preventing and responding to violence, I am clear that the solutions are to be found in communities. </w:t>
      </w:r>
    </w:p>
    <w:p w14:paraId="7C9A2476" w14:textId="2D4A019B" w:rsidR="00BD13C6" w:rsidRPr="003A2EB4" w:rsidRDefault="002C2A1F" w:rsidP="00E05BEE">
      <w:r w:rsidRPr="003A2EB4">
        <w:t>Victims/survivors of violence need to know they can get the right help when and where they need it. Too many people are falling through the cracks, and this is having a devastating impact and causing long-term trauma. This comes at a</w:t>
      </w:r>
      <w:r w:rsidR="00BD13C6" w:rsidRPr="003A2EB4">
        <w:t xml:space="preserve"> high cost for the wellbeing and potential of our communities and New Zealand. </w:t>
      </w:r>
    </w:p>
    <w:p w14:paraId="4075AD44" w14:textId="77777777" w:rsidR="00BD13C6" w:rsidRPr="003A2EB4" w:rsidRDefault="00BD13C6" w:rsidP="00E05BEE">
      <w:r w:rsidRPr="003A2EB4">
        <w:t xml:space="preserve">As a strong advocate and leader of change, I want to ensure that our system responds to victims/survivors in an appropriate and safe way and that those who commit violence are not just held accountable but also supported to change their behaviour. </w:t>
      </w:r>
    </w:p>
    <w:p w14:paraId="7D84E0D7" w14:textId="77777777" w:rsidR="00BD13C6" w:rsidRPr="003A2EB4" w:rsidRDefault="00BD13C6" w:rsidP="00E05BEE">
      <w:r w:rsidRPr="003A2EB4">
        <w:t xml:space="preserve">This plan is focused on government prioritising fewer things and doing them well. </w:t>
      </w:r>
    </w:p>
    <w:p w14:paraId="0227737E" w14:textId="6DB2A1D2" w:rsidR="002C2A1F" w:rsidRPr="003A2EB4" w:rsidRDefault="00BD13C6" w:rsidP="00E05BEE">
      <w:r w:rsidRPr="003A2EB4">
        <w:t>It is targeted at addressing the challenges that stop people from getting the right support first time, by strengthening how agencies work together with communities. Paramount in this, is the safety of children and young people, and working towards preventing people from using violence in the first place.</w:t>
      </w:r>
    </w:p>
    <w:p w14:paraId="62638698" w14:textId="77777777" w:rsidR="00BD13C6" w:rsidRPr="003A2EB4" w:rsidRDefault="00BD13C6" w:rsidP="00E05BEE">
      <w:r w:rsidRPr="003A2EB4">
        <w:t xml:space="preserve">In doing so, we must ensure that our investments and actions in the family violence and sexual violence sectors are effective and directed where they will make a real difference for victims/survivors. </w:t>
      </w:r>
    </w:p>
    <w:p w14:paraId="413A44C8" w14:textId="1F2F72E0" w:rsidR="00BD13C6" w:rsidRPr="003A2EB4" w:rsidRDefault="00BD13C6" w:rsidP="00E05BEE">
      <w:r w:rsidRPr="003A2EB4">
        <w:t>This plan prioritises efforts to eliminate family violence and sexual violence through Te Aorerekura - the National Strategy. It provides a clear pathway to achieve real results by placing the needs of victims/survivors at the heart of all we do and acting decisively to deliver change.</w:t>
      </w:r>
    </w:p>
    <w:p w14:paraId="52064CB5" w14:textId="71B39D44" w:rsidR="00BD13C6" w:rsidRPr="003A2EB4" w:rsidRDefault="00BD13C6" w:rsidP="00E05BEE">
      <w:r w:rsidRPr="003A2EB4">
        <w:t>Hon Karen Chhour</w:t>
      </w:r>
      <w:r w:rsidR="009D3F8B" w:rsidRPr="003A2EB4">
        <w:br/>
      </w:r>
      <w:r w:rsidRPr="003A2EB4">
        <w:t>Minister for the Prevention of Family and Sexual Violence</w:t>
      </w:r>
    </w:p>
    <w:p w14:paraId="7957ECD7" w14:textId="05C29E3A" w:rsidR="00334B79" w:rsidRPr="003A2EB4" w:rsidRDefault="00334B79" w:rsidP="00E05BEE">
      <w:pPr>
        <w:pStyle w:val="Heading1"/>
      </w:pPr>
      <w:r w:rsidRPr="003A2EB4">
        <w:t>Introduction</w:t>
      </w:r>
    </w:p>
    <w:p w14:paraId="69F571F8" w14:textId="626DB6A6" w:rsidR="00EE5448" w:rsidRPr="003A2EB4" w:rsidRDefault="00046945" w:rsidP="00E05BEE">
      <w:r w:rsidRPr="003A2EB4">
        <w:t xml:space="preserve">“All people in Aotearoa New Zealand are thriving; their wellbeing is enhanced and sustained because they are safe and supported to live their lives free from family violence and sexual violence.” </w:t>
      </w:r>
    </w:p>
    <w:p w14:paraId="5AD5863E" w14:textId="0FF94C6C" w:rsidR="00046945" w:rsidRPr="003A2EB4" w:rsidRDefault="00046945" w:rsidP="00E05BEE">
      <w:r w:rsidRPr="003A2EB4">
        <w:t>~ Moemoeā, Dream and Vision, National Strategy for the Elimination of Family Violence and Sexual Violence</w:t>
      </w:r>
    </w:p>
    <w:p w14:paraId="7C2A10C1" w14:textId="77777777" w:rsidR="00330EAB" w:rsidRPr="003A2EB4" w:rsidRDefault="00330EAB" w:rsidP="00E05BEE">
      <w:pPr>
        <w:pStyle w:val="Heading2"/>
      </w:pPr>
      <w:r w:rsidRPr="003A2EB4">
        <w:lastRenderedPageBreak/>
        <w:t xml:space="preserve">Safe, supported and thriving communities </w:t>
      </w:r>
    </w:p>
    <w:p w14:paraId="0400C901" w14:textId="74D1C035" w:rsidR="00046945" w:rsidRPr="003A2EB4" w:rsidRDefault="00330EAB" w:rsidP="00E05BEE">
      <w:r w:rsidRPr="003A2EB4">
        <w:t>All of us want children and young people growing up in homes and communities where they are safe and nurtured to reach their full potential. Yet too many people in New Zealand are living with violence. Its effects last generations.</w:t>
      </w:r>
    </w:p>
    <w:p w14:paraId="3A6F9F0B" w14:textId="77777777" w:rsidR="00330EAB" w:rsidRPr="003A2EB4" w:rsidRDefault="00330EAB" w:rsidP="00E05BEE">
      <w:pPr>
        <w:pStyle w:val="Heading2"/>
      </w:pPr>
      <w:r w:rsidRPr="003A2EB4">
        <w:t xml:space="preserve">Family violence and sexual violence are a crisis in New Zealand </w:t>
      </w:r>
    </w:p>
    <w:p w14:paraId="67353C8A" w14:textId="2FC4476F" w:rsidR="00330EAB" w:rsidRPr="003A2EB4" w:rsidRDefault="00330EAB" w:rsidP="00E05BEE">
      <w:r w:rsidRPr="003A2EB4">
        <w:t>A third of New Zealand adults (30.2%) have experienced physical and sexual violence offences committed by an intimate partner in their lifetime.</w:t>
      </w:r>
      <w:r w:rsidRPr="003A2EB4">
        <w:rPr>
          <w:vertAlign w:val="superscript"/>
        </w:rPr>
        <w:footnoteReference w:id="2"/>
      </w:r>
    </w:p>
    <w:p w14:paraId="00606848" w14:textId="2DF8C2B5" w:rsidR="00330EAB" w:rsidRPr="003A2EB4" w:rsidRDefault="00330EAB" w:rsidP="00E05BEE">
      <w:r w:rsidRPr="003A2EB4">
        <w:t>Family violence and sexual violence, however, can take many forms, including psychological abuse. When taking this into account, 56% of women experience intimate partner violence in their lifetime. This is higher for wāhine Māori.</w:t>
      </w:r>
      <w:r w:rsidRPr="003A2EB4">
        <w:rPr>
          <w:vertAlign w:val="superscript"/>
        </w:rPr>
        <w:footnoteReference w:id="3"/>
      </w:r>
    </w:p>
    <w:p w14:paraId="689B28B6" w14:textId="2375C3FB" w:rsidR="00880C48" w:rsidRPr="003A2EB4" w:rsidRDefault="00330EAB" w:rsidP="00E05BEE">
      <w:r w:rsidRPr="003A2EB4">
        <w:t>One in three women (36%) and one in eight men (13%) have experienced one or more sexual assaults in their lifetime.</w:t>
      </w:r>
      <w:r w:rsidR="000E0509" w:rsidRPr="003A2EB4">
        <w:rPr>
          <w:rStyle w:val="FootnoteReference"/>
        </w:rPr>
        <w:footnoteReference w:id="4"/>
      </w:r>
      <w:r w:rsidRPr="003A2EB4">
        <w:t xml:space="preserve"> Violence is hidden and often goes unreported. Only 6.6% of sexual violence is reported to police.</w:t>
      </w:r>
      <w:r w:rsidR="00880C48" w:rsidRPr="003A2EB4">
        <w:rPr>
          <w:rStyle w:val="FootnoteReference"/>
        </w:rPr>
        <w:footnoteReference w:id="5"/>
      </w:r>
    </w:p>
    <w:p w14:paraId="3E062270" w14:textId="419E1512" w:rsidR="00C76ED2" w:rsidRPr="003A2EB4" w:rsidRDefault="00C76ED2" w:rsidP="00E617D6">
      <w:pPr>
        <w:pStyle w:val="Heading2"/>
      </w:pPr>
      <w:r w:rsidRPr="003A2EB4">
        <w:t xml:space="preserve">Targeting serious offending </w:t>
      </w:r>
    </w:p>
    <w:p w14:paraId="0C63FFE7" w14:textId="77777777" w:rsidR="00C76ED2" w:rsidRPr="003A2EB4" w:rsidRDefault="00C76ED2" w:rsidP="00E05BEE">
      <w:r w:rsidRPr="003A2EB4">
        <w:t xml:space="preserve">The government has prioritised addressing family violence and sexual violence. </w:t>
      </w:r>
    </w:p>
    <w:p w14:paraId="2DB97B84" w14:textId="1BF00273" w:rsidR="00C76ED2" w:rsidRPr="003A2EB4" w:rsidRDefault="00C76ED2" w:rsidP="00E05BEE">
      <w:r w:rsidRPr="003A2EB4">
        <w:t>It has set clear targets for the reduction of violent crime, which includes family violence and sexual assault (target 4) and reducing serious and persistent youth offending (target 3). By 2030, it wants to reduce violent crime and the number of victims by 20,000, so that New Zealanders can live safe, connected, and healthy lives. Reducing family violence and sexual violence improves outcomes in education, health and employment.</w:t>
      </w:r>
    </w:p>
    <w:p w14:paraId="74A96ED7" w14:textId="77777777" w:rsidR="00291F49" w:rsidRPr="003A2EB4" w:rsidRDefault="00291F49" w:rsidP="00E05BEE">
      <w:pPr>
        <w:pStyle w:val="Heading2"/>
      </w:pPr>
      <w:r w:rsidRPr="003A2EB4">
        <w:t xml:space="preserve">A national strategy for change </w:t>
      </w:r>
    </w:p>
    <w:p w14:paraId="230E1A74" w14:textId="5589A9E7" w:rsidR="00291F49" w:rsidRPr="003A2EB4" w:rsidRDefault="00291F49" w:rsidP="00E05BEE">
      <w:r w:rsidRPr="003A2EB4">
        <w:t xml:space="preserve">We are three years into a 25 year journey to eliminate family violence and sexual violence through the National Strategy – Te Aorerekura. </w:t>
      </w:r>
    </w:p>
    <w:p w14:paraId="6F19A0CA" w14:textId="77777777" w:rsidR="00291F49" w:rsidRPr="003A2EB4" w:rsidRDefault="00291F49" w:rsidP="00E05BEE">
      <w:r w:rsidRPr="003A2EB4">
        <w:t xml:space="preserve">This Action Plan sets out where government will focus and prioritise its actions to drive change to stop violence and keep people safe. </w:t>
      </w:r>
    </w:p>
    <w:p w14:paraId="7527DAEE" w14:textId="453A5E9E" w:rsidR="00291F49" w:rsidRPr="003A2EB4" w:rsidRDefault="00291F49" w:rsidP="00E05BEE">
      <w:r w:rsidRPr="003A2EB4">
        <w:t>This plan builds on the important work that began in 2021, when Te Aorerekura and the first Action Plan (2021-2023) laid the foundations for long-term change. This plan established more effective relationships across government and in communities, began to grow the capability of family violence and sexual violence workforces, and improved the use of data and evidence to make decisions.</w:t>
      </w:r>
    </w:p>
    <w:p w14:paraId="730037FF" w14:textId="77777777" w:rsidR="000B778D" w:rsidRPr="003A2EB4" w:rsidRDefault="000B778D" w:rsidP="00E05BEE">
      <w:pPr>
        <w:pStyle w:val="Heading2"/>
      </w:pPr>
      <w:r w:rsidRPr="003A2EB4">
        <w:lastRenderedPageBreak/>
        <w:t xml:space="preserve">Doing more of what works to break the cycle of violence </w:t>
      </w:r>
    </w:p>
    <w:p w14:paraId="6A711A62" w14:textId="77777777" w:rsidR="000B778D" w:rsidRPr="003A2EB4" w:rsidRDefault="000B778D" w:rsidP="00E05BEE">
      <w:r w:rsidRPr="003A2EB4">
        <w:t xml:space="preserve">Breaking cycles of violence is possible when our systems deliver effective responses and we work with people who have used violence, to hold them accountable and support them to change their behaviour. </w:t>
      </w:r>
    </w:p>
    <w:p w14:paraId="3D1356A9" w14:textId="100E1F69" w:rsidR="000B778D" w:rsidRPr="003A2EB4" w:rsidRDefault="000B778D" w:rsidP="00E05BEE">
      <w:r w:rsidRPr="003A2EB4">
        <w:t>We have identified seven focus areas that will guide government action over the next five years (figure 1 and appendix 1).</w:t>
      </w:r>
    </w:p>
    <w:p w14:paraId="648962CD" w14:textId="054A5FAE" w:rsidR="000B778D" w:rsidRPr="003A2EB4" w:rsidRDefault="000B778D" w:rsidP="00E05BEE">
      <w:r w:rsidRPr="003A2EB4">
        <w:t>To make progress in these areas, government will take a phased approach to delivery, learning and adapting to improve the system on the basis of the evidence. We want to do more of what works, and we want to do those things well.</w:t>
      </w:r>
    </w:p>
    <w:p w14:paraId="6FEF153D" w14:textId="410AC577" w:rsidR="00A01B2F" w:rsidRPr="003A2EB4" w:rsidRDefault="0060106D" w:rsidP="00E05BEE">
      <w:r w:rsidRPr="003A2EB4">
        <w:t xml:space="preserve">“Victim/survivors described an incredibly long, complex, dangerous and difficult struggle to get safe in which they had very little access to resources or safe and appropriate support and often found they were powerless to stop the abuse even after they separated from the abuser.” </w:t>
      </w:r>
      <w:r w:rsidRPr="003A2EB4">
        <w:br/>
        <w:t>~ The Backbone Collective (2020). Victim/survivor perspectives on longer-term support after experiencing violence and abuse, page 6.</w:t>
      </w:r>
    </w:p>
    <w:p w14:paraId="08306D65" w14:textId="77777777" w:rsidR="0060106D" w:rsidRPr="003A2EB4" w:rsidRDefault="0060106D" w:rsidP="00E05BEE">
      <w:pPr>
        <w:pStyle w:val="Heading2"/>
      </w:pPr>
      <w:r w:rsidRPr="003A2EB4">
        <w:t xml:space="preserve">Accelerating action </w:t>
      </w:r>
    </w:p>
    <w:p w14:paraId="178F5501" w14:textId="77777777" w:rsidR="0060106D" w:rsidRPr="003A2EB4" w:rsidRDefault="0060106D" w:rsidP="00E05BEE">
      <w:r w:rsidRPr="003A2EB4">
        <w:t xml:space="preserve">Te Puna Aonui brings together government agencies to address family violence and sexual violence. Over the next two years Te Puna Aonui will focus on three areas that require deep collaboration and contribute to the government’s targets to reduce serious offending (target 4) and persistent and serious youth offending (target 3) by reducing revictimisation and reoffending. </w:t>
      </w:r>
    </w:p>
    <w:p w14:paraId="12DA2179" w14:textId="77777777" w:rsidR="0060106D" w:rsidRPr="003A2EB4" w:rsidRDefault="0060106D" w:rsidP="008A5FA0">
      <w:pPr>
        <w:pStyle w:val="Heading3"/>
      </w:pPr>
      <w:r w:rsidRPr="003A2EB4">
        <w:t xml:space="preserve">1. Investing and commissioning well </w:t>
      </w:r>
    </w:p>
    <w:p w14:paraId="0051A407" w14:textId="70BCB78A" w:rsidR="0060106D" w:rsidRPr="003A2EB4" w:rsidRDefault="0060106D" w:rsidP="00E05BEE">
      <w:r w:rsidRPr="003A2EB4">
        <w:t>Adopting a social investment approach to make evidence-informed decisions about when, where and how to invest to deliver change and improve lives.</w:t>
      </w:r>
    </w:p>
    <w:p w14:paraId="5B6D2E44" w14:textId="77777777" w:rsidR="00645721" w:rsidRPr="003A2EB4" w:rsidRDefault="00645721" w:rsidP="008A5FA0">
      <w:pPr>
        <w:pStyle w:val="Heading3"/>
      </w:pPr>
      <w:r w:rsidRPr="003A2EB4">
        <w:t xml:space="preserve">2. Keeping people safe </w:t>
      </w:r>
    </w:p>
    <w:p w14:paraId="17E7156A" w14:textId="77777777" w:rsidR="00645721" w:rsidRPr="003A2EB4" w:rsidRDefault="00645721" w:rsidP="00E05BEE">
      <w:r w:rsidRPr="003A2EB4">
        <w:t xml:space="preserve">Strengthening the ways agencies work together with communities, focusing on improving risk management for those at greatest risk of serious injury and death, and prioritising children and young people. </w:t>
      </w:r>
    </w:p>
    <w:p w14:paraId="3F74B2C2" w14:textId="77777777" w:rsidR="00645721" w:rsidRPr="003A2EB4" w:rsidRDefault="00645721" w:rsidP="008A5FA0">
      <w:pPr>
        <w:pStyle w:val="Heading3"/>
      </w:pPr>
      <w:r w:rsidRPr="003A2EB4">
        <w:t xml:space="preserve">3. Stopping violence </w:t>
      </w:r>
    </w:p>
    <w:p w14:paraId="0507E747" w14:textId="172D49CB" w:rsidR="00645721" w:rsidRPr="003A2EB4" w:rsidRDefault="00645721" w:rsidP="00E05BEE">
      <w:r w:rsidRPr="003A2EB4">
        <w:t>Bringing a stronger focus on to the people who use violence so we can stop the behaviours that cause harm and keep victims/survivors safe. We will measure success with clear actions, milestones, performance indicators and outcomes (appendix 2).</w:t>
      </w:r>
    </w:p>
    <w:p w14:paraId="4EC61B9D" w14:textId="77777777" w:rsidR="004516D6" w:rsidRPr="003A2EB4" w:rsidRDefault="0086197E" w:rsidP="00E05BEE">
      <w:pPr>
        <w:pStyle w:val="Heading2"/>
      </w:pPr>
      <w:r w:rsidRPr="003A2EB4">
        <w:t xml:space="preserve">Agency work continues </w:t>
      </w:r>
    </w:p>
    <w:p w14:paraId="25544865" w14:textId="4CED82F7" w:rsidR="0086197E" w:rsidRPr="003A2EB4" w:rsidRDefault="0086197E" w:rsidP="00E05BEE">
      <w:r w:rsidRPr="003A2EB4">
        <w:t>The focus of this plan does not represent all the work that government does across the family violence and sexual violence system. Agencies will continue to deliver services and make improvements in support of the remaining four focus areas (appendix 3).</w:t>
      </w:r>
    </w:p>
    <w:p w14:paraId="716229FE" w14:textId="77777777" w:rsidR="004516D6" w:rsidRPr="003A2EB4" w:rsidRDefault="004516D6" w:rsidP="00E05BEE">
      <w:pPr>
        <w:pStyle w:val="Heading2"/>
      </w:pPr>
      <w:r w:rsidRPr="003A2EB4">
        <w:t xml:space="preserve">People and places matter </w:t>
      </w:r>
    </w:p>
    <w:p w14:paraId="407FDBAD" w14:textId="369AF2D2" w:rsidR="004516D6" w:rsidRPr="003A2EB4" w:rsidRDefault="004516D6" w:rsidP="00E05BEE">
      <w:r w:rsidRPr="003A2EB4">
        <w:t>This plan focuses on working in regions and localities, continuing to build partnerships with tangata whenua, specialists and communities to enable change to break the cycle of violence.</w:t>
      </w:r>
    </w:p>
    <w:p w14:paraId="4B5360EC" w14:textId="4D452858" w:rsidR="004A7F86" w:rsidRPr="003A2EB4" w:rsidRDefault="00B7053C" w:rsidP="00E05BEE">
      <w:pPr>
        <w:pStyle w:val="Heading2"/>
      </w:pPr>
      <w:r w:rsidRPr="003A2EB4">
        <w:lastRenderedPageBreak/>
        <w:t>Figure 1: Five-year focus areas</w:t>
      </w:r>
    </w:p>
    <w:p w14:paraId="00AB0843" w14:textId="67F603A2" w:rsidR="00B32A58" w:rsidRPr="003A2EB4" w:rsidRDefault="00B32A58" w:rsidP="00E05BEE">
      <w:r w:rsidRPr="003A2EB4">
        <w:t>Government will focus on seven areas to improve safety, support and enable people to thrive (further detail in appendix 1).</w:t>
      </w:r>
    </w:p>
    <w:p w14:paraId="59832CAB" w14:textId="66B053EB" w:rsidR="00B32A58" w:rsidRPr="003A2EB4" w:rsidRDefault="00B7053C" w:rsidP="005748F5">
      <w:pPr>
        <w:pStyle w:val="ListParagraph"/>
        <w:rPr>
          <w:b/>
          <w:bCs/>
        </w:rPr>
      </w:pPr>
      <w:r w:rsidRPr="003A2EB4">
        <w:rPr>
          <w:b/>
          <w:bCs/>
        </w:rPr>
        <w:t xml:space="preserve">Investing and commissioning well </w:t>
      </w:r>
    </w:p>
    <w:p w14:paraId="24A34D1F" w14:textId="2AA4C4A5" w:rsidR="00B32A58" w:rsidRPr="003A2EB4" w:rsidRDefault="00B7053C" w:rsidP="005748F5">
      <w:pPr>
        <w:pStyle w:val="ListParagraph"/>
        <w:rPr>
          <w:b/>
          <w:bCs/>
        </w:rPr>
      </w:pPr>
      <w:r w:rsidRPr="003A2EB4">
        <w:rPr>
          <w:b/>
          <w:bCs/>
        </w:rPr>
        <w:t xml:space="preserve">Keeping people safe </w:t>
      </w:r>
    </w:p>
    <w:p w14:paraId="4A19296A" w14:textId="0132DEBC" w:rsidR="00B32A58" w:rsidRPr="003A2EB4" w:rsidRDefault="00B7053C" w:rsidP="005748F5">
      <w:pPr>
        <w:pStyle w:val="ListParagraph"/>
        <w:rPr>
          <w:b/>
          <w:bCs/>
        </w:rPr>
      </w:pPr>
      <w:r w:rsidRPr="003A2EB4">
        <w:rPr>
          <w:b/>
          <w:bCs/>
        </w:rPr>
        <w:t>Stopping violence</w:t>
      </w:r>
    </w:p>
    <w:p w14:paraId="412BB5DB" w14:textId="615234EC" w:rsidR="00B32A58" w:rsidRPr="003A2EB4" w:rsidRDefault="00B7053C" w:rsidP="005748F5">
      <w:pPr>
        <w:pStyle w:val="ListParagraph"/>
      </w:pPr>
      <w:r w:rsidRPr="003A2EB4">
        <w:t xml:space="preserve">Protecting children and young people </w:t>
      </w:r>
    </w:p>
    <w:p w14:paraId="3C1BA155" w14:textId="7C9D20A0" w:rsidR="00B32A58" w:rsidRPr="003A2EB4" w:rsidRDefault="00B7053C" w:rsidP="005748F5">
      <w:pPr>
        <w:pStyle w:val="ListParagraph"/>
      </w:pPr>
      <w:r w:rsidRPr="003A2EB4">
        <w:t xml:space="preserve">Strengthening our workforce </w:t>
      </w:r>
    </w:p>
    <w:p w14:paraId="751B58F6" w14:textId="76D7618E" w:rsidR="00B32A58" w:rsidRPr="003A2EB4" w:rsidRDefault="00B7053C" w:rsidP="005748F5">
      <w:pPr>
        <w:pStyle w:val="ListParagraph"/>
      </w:pPr>
      <w:r w:rsidRPr="003A2EB4">
        <w:t xml:space="preserve">Taking action on sexual violence </w:t>
      </w:r>
    </w:p>
    <w:p w14:paraId="503F5027" w14:textId="76B78767" w:rsidR="00B32A58" w:rsidRPr="003A2EB4" w:rsidRDefault="00B7053C" w:rsidP="005748F5">
      <w:pPr>
        <w:pStyle w:val="ListParagraph"/>
      </w:pPr>
      <w:r w:rsidRPr="003A2EB4">
        <w:t>Preventing violence before it starts</w:t>
      </w:r>
    </w:p>
    <w:p w14:paraId="2E69C92F" w14:textId="53068548" w:rsidR="00B32A58" w:rsidRPr="003A2EB4" w:rsidRDefault="00B32A58" w:rsidP="00E05BEE">
      <w:r w:rsidRPr="003A2EB4">
        <w:t>Te Puna Aonui agencies will work collectively on priorities 1-3 for the next two years. Agencies will continue to take action in support of the other focus areas.</w:t>
      </w:r>
    </w:p>
    <w:p w14:paraId="648CAF58" w14:textId="77777777" w:rsidR="00907236" w:rsidRPr="003A2EB4" w:rsidRDefault="00907236">
      <w:pPr>
        <w:autoSpaceDE/>
        <w:autoSpaceDN/>
        <w:adjustRightInd/>
        <w:spacing w:before="0" w:after="160" w:line="259" w:lineRule="auto"/>
        <w:rPr>
          <w:rFonts w:eastAsia="Times New Roman"/>
          <w:b/>
          <w:color w:val="293D8A"/>
          <w:sz w:val="32"/>
          <w:szCs w:val="32"/>
          <w:lang w:eastAsia="ja-JP"/>
          <w14:ligatures w14:val="none"/>
        </w:rPr>
      </w:pPr>
      <w:r w:rsidRPr="003A2EB4">
        <w:br w:type="page"/>
      </w:r>
    </w:p>
    <w:p w14:paraId="5E9E9E56" w14:textId="4DA8ECAE" w:rsidR="00B7053C" w:rsidRPr="003A2EB4" w:rsidRDefault="00880C48" w:rsidP="00E05BEE">
      <w:pPr>
        <w:pStyle w:val="Heading1"/>
      </w:pPr>
      <w:r w:rsidRPr="003A2EB4">
        <w:lastRenderedPageBreak/>
        <w:t>Family violence and sexual violence in New Zealand</w:t>
      </w:r>
    </w:p>
    <w:p w14:paraId="18020A6D" w14:textId="4125E640" w:rsidR="00F54F9D" w:rsidRPr="003A2EB4" w:rsidRDefault="00F54F9D" w:rsidP="00E05BEE">
      <w:r w:rsidRPr="003A2EB4">
        <w:t>Some groups are impacted by violence and experience more serious harm, more often (figure 2). The intersectionality of people belonging to one or more groups compounds their risk of harm, leading to a greater impact on victims/survivors’ health, freedoms and ability to live their lives well. We will work to ensure that the voices and needs of these victims/survivors are included in the implementation of this plan.</w:t>
      </w:r>
    </w:p>
    <w:p w14:paraId="797A9203" w14:textId="60E97FFD" w:rsidR="00711EDD" w:rsidRPr="003A2EB4" w:rsidRDefault="00711EDD" w:rsidP="00E617D6">
      <w:pPr>
        <w:pStyle w:val="Heading2"/>
      </w:pPr>
      <w:r w:rsidRPr="003A2EB4">
        <w:t>Figure 2: Highlights the diverse population groups that experience violence</w:t>
      </w:r>
    </w:p>
    <w:p w14:paraId="7542F4FF" w14:textId="2C7C576E" w:rsidR="005B1FE0" w:rsidRPr="008A5FA0" w:rsidRDefault="005B1FE0" w:rsidP="008A5FA0">
      <w:pPr>
        <w:pStyle w:val="Heading3"/>
      </w:pPr>
      <w:r w:rsidRPr="008A5FA0">
        <w:t>Māori</w:t>
      </w:r>
    </w:p>
    <w:p w14:paraId="0DEBBC7F" w14:textId="76F3489D" w:rsidR="005B1FE0" w:rsidRPr="003A2EB4" w:rsidRDefault="005B1FE0" w:rsidP="00E05BEE">
      <w:r w:rsidRPr="003A2EB4">
        <w:t>Wāhine Māori are more likely to be subjected to family violence or sexual violence than any other ethnicity or gender. One in two (49%) Māori women experience physical or sexual intimate partner violence in their lifetime, compared with one in three (31%) for all women.</w:t>
      </w:r>
      <w:r w:rsidRPr="003A2EB4">
        <w:rPr>
          <w:rStyle w:val="FootnoteReference"/>
        </w:rPr>
        <w:footnoteReference w:id="6"/>
      </w:r>
    </w:p>
    <w:p w14:paraId="341DEFD9" w14:textId="0C9A1386" w:rsidR="00D5794E" w:rsidRPr="003A2EB4" w:rsidRDefault="00D5794E" w:rsidP="008A5FA0">
      <w:pPr>
        <w:pStyle w:val="Heading3"/>
      </w:pPr>
      <w:r w:rsidRPr="003A2EB4">
        <w:t>Women</w:t>
      </w:r>
    </w:p>
    <w:p w14:paraId="0D05177A" w14:textId="1F16433B" w:rsidR="00F54F9D" w:rsidRPr="003A2EB4" w:rsidRDefault="00F54F9D" w:rsidP="00E05BEE">
      <w:r w:rsidRPr="003A2EB4">
        <w:t>Women experience more types of violence, more frequently and severely than men. More women reported serious injuries, fear, and physical and mental health impacts following intimate partner violence.</w:t>
      </w:r>
      <w:r w:rsidR="00880C48" w:rsidRPr="003A2EB4">
        <w:rPr>
          <w:rStyle w:val="FootnoteReference"/>
        </w:rPr>
        <w:footnoteReference w:id="7"/>
      </w:r>
      <w:r w:rsidRPr="003A2EB4">
        <w:t xml:space="preserve"> 74% of people killed by their partners between 2007 and 2021 were women.</w:t>
      </w:r>
      <w:r w:rsidRPr="003A2EB4">
        <w:rPr>
          <w:rStyle w:val="FootnoteReference"/>
        </w:rPr>
        <w:footnoteReference w:id="8"/>
      </w:r>
    </w:p>
    <w:p w14:paraId="0EBA8EC5" w14:textId="404804F1" w:rsidR="00D5794E" w:rsidRPr="003A2EB4" w:rsidRDefault="00D5794E" w:rsidP="008A5FA0">
      <w:pPr>
        <w:pStyle w:val="Heading3"/>
      </w:pPr>
      <w:r w:rsidRPr="003A2EB4">
        <w:t>Men</w:t>
      </w:r>
    </w:p>
    <w:p w14:paraId="42F90953" w14:textId="410D5A6E" w:rsidR="00B7053C" w:rsidRPr="003A2EB4" w:rsidRDefault="00D5794E" w:rsidP="00E05BEE">
      <w:r w:rsidRPr="003A2EB4">
        <w:t>Over their lifetimes, 1 in 8 men (12.5%) have experienced sexual assault.</w:t>
      </w:r>
      <w:r w:rsidRPr="003A2EB4">
        <w:rPr>
          <w:rStyle w:val="FootnoteReference"/>
        </w:rPr>
        <w:footnoteReference w:id="9"/>
      </w:r>
    </w:p>
    <w:p w14:paraId="51C7D8C6" w14:textId="1A1D19B2" w:rsidR="00091A26" w:rsidRPr="003A2EB4" w:rsidRDefault="00091A26" w:rsidP="008A5FA0">
      <w:pPr>
        <w:pStyle w:val="Heading3"/>
      </w:pPr>
      <w:r w:rsidRPr="003A2EB4">
        <w:t>Children and young people</w:t>
      </w:r>
    </w:p>
    <w:p w14:paraId="74695230" w14:textId="0FC1F8A7" w:rsidR="00091A26" w:rsidRPr="003A2EB4" w:rsidRDefault="00091A26" w:rsidP="00E05BEE">
      <w:r w:rsidRPr="003A2EB4">
        <w:t>When children and young people experience violence and harm. it leads to poorer outcomes and limits their potential. One in ten children and young people aged 12- 18 were physically hurt by adults at their home in the past year.</w:t>
      </w:r>
      <w:r w:rsidRPr="003A2EB4">
        <w:rPr>
          <w:rStyle w:val="FootnoteReference"/>
        </w:rPr>
        <w:footnoteReference w:id="10"/>
      </w:r>
      <w:r w:rsidRPr="003A2EB4">
        <w:t xml:space="preserve"> 56% of victims of sexual assault are between 15 and 29 years old.</w:t>
      </w:r>
      <w:r w:rsidRPr="003A2EB4">
        <w:rPr>
          <w:rStyle w:val="FootnoteReference"/>
        </w:rPr>
        <w:footnoteReference w:id="11"/>
      </w:r>
    </w:p>
    <w:p w14:paraId="7AFBF366" w14:textId="5619BD87" w:rsidR="000F683A" w:rsidRPr="003A2EB4" w:rsidRDefault="000F683A" w:rsidP="008A5FA0">
      <w:pPr>
        <w:pStyle w:val="Heading3"/>
      </w:pPr>
      <w:r w:rsidRPr="003A2EB4">
        <w:t>Pacific peoples</w:t>
      </w:r>
    </w:p>
    <w:p w14:paraId="248E8BDD" w14:textId="7B0A5716" w:rsidR="000F683A" w:rsidRPr="003A2EB4" w:rsidRDefault="000F683A" w:rsidP="00E05BEE">
      <w:r w:rsidRPr="003A2EB4">
        <w:t>Pacific peoples disproportionately experience material hardship, which can exacerbate some forms of violence. Pacific children are 4.8 times more likely to die from child abuse and neglect than children of other ethnicities.</w:t>
      </w:r>
      <w:r w:rsidRPr="003A2EB4">
        <w:rPr>
          <w:rStyle w:val="FootnoteReference"/>
        </w:rPr>
        <w:footnoteReference w:id="12"/>
      </w:r>
    </w:p>
    <w:p w14:paraId="40EEB12D" w14:textId="558B1B95" w:rsidR="000F683A" w:rsidRPr="003A2EB4" w:rsidRDefault="000F683A" w:rsidP="008A5FA0">
      <w:pPr>
        <w:pStyle w:val="Heading3"/>
      </w:pPr>
      <w:r w:rsidRPr="003A2EB4">
        <w:lastRenderedPageBreak/>
        <w:t>Disabled people</w:t>
      </w:r>
    </w:p>
    <w:p w14:paraId="3C84E573" w14:textId="44390A9B" w:rsidR="000F683A" w:rsidRPr="003A2EB4" w:rsidRDefault="000F683A" w:rsidP="00E05BEE">
      <w:r w:rsidRPr="003A2EB4">
        <w:t>Disabled people experience violence in different ways and at higher rates than other groups. 18% of disabled young people were hit or physically hurt in the place they usually live.</w:t>
      </w:r>
      <w:r w:rsidRPr="003A2EB4">
        <w:rPr>
          <w:rStyle w:val="FootnoteReference"/>
        </w:rPr>
        <w:footnoteReference w:id="13"/>
      </w:r>
      <w:r w:rsidRPr="003A2EB4">
        <w:t xml:space="preserve"> 44% of disabled people have experienced sexual assault.</w:t>
      </w:r>
      <w:r w:rsidRPr="003A2EB4">
        <w:rPr>
          <w:rStyle w:val="FootnoteReference"/>
        </w:rPr>
        <w:footnoteReference w:id="14"/>
      </w:r>
    </w:p>
    <w:p w14:paraId="3A4E3EB4" w14:textId="1D3B0804" w:rsidR="00711EDD" w:rsidRPr="003A2EB4" w:rsidRDefault="00711EDD" w:rsidP="008A5FA0">
      <w:pPr>
        <w:pStyle w:val="Heading3"/>
      </w:pPr>
      <w:r w:rsidRPr="003A2EB4">
        <w:t>Older people</w:t>
      </w:r>
    </w:p>
    <w:p w14:paraId="6CCCEF3F" w14:textId="580CC41B" w:rsidR="00711EDD" w:rsidRPr="003A2EB4" w:rsidRDefault="00711EDD" w:rsidP="00E05BEE">
      <w:r w:rsidRPr="003A2EB4">
        <w:t>Violence experienced by older people is often not visible because of poor health or disability, being socially isolated, or dependent on others for care. As many as one in ten older people in New Zealand will experience some kind of elder abuse which includes physical, sexual, psychological, and/or economic abuse and/or controlling behaviours.</w:t>
      </w:r>
      <w:r w:rsidRPr="003A2EB4">
        <w:rPr>
          <w:rStyle w:val="FootnoteReference"/>
        </w:rPr>
        <w:footnoteReference w:id="15"/>
      </w:r>
    </w:p>
    <w:p w14:paraId="0715528D" w14:textId="363A439F" w:rsidR="00792FD8" w:rsidRPr="003A2EB4" w:rsidRDefault="00792FD8" w:rsidP="008A5FA0">
      <w:pPr>
        <w:pStyle w:val="Heading3"/>
      </w:pPr>
      <w:r w:rsidRPr="003A2EB4">
        <w:t>Ethnic communities</w:t>
      </w:r>
    </w:p>
    <w:p w14:paraId="351A55F1" w14:textId="3146A625" w:rsidR="00792FD8" w:rsidRPr="003A2EB4" w:rsidRDefault="00792FD8" w:rsidP="00E05BEE">
      <w:r w:rsidRPr="003A2EB4">
        <w:t>In ethnic communities, violence can take distinctive cultural forms, including dowry and ‘honour’ related violence, forced and underage marriage, and female genital mutilation. 17% of people in ethnic communities experienced controlling behaviours by a family member in the past year.</w:t>
      </w:r>
      <w:r w:rsidRPr="003A2EB4">
        <w:rPr>
          <w:rStyle w:val="FootnoteReference"/>
        </w:rPr>
        <w:footnoteReference w:id="16"/>
      </w:r>
    </w:p>
    <w:p w14:paraId="3DF373CF" w14:textId="4BA39EFB" w:rsidR="00792FD8" w:rsidRPr="003A2EB4" w:rsidRDefault="00792FD8" w:rsidP="008A5FA0">
      <w:pPr>
        <w:pStyle w:val="Heading3"/>
      </w:pPr>
      <w:r w:rsidRPr="003A2EB4">
        <w:t>LGBTQIA+</w:t>
      </w:r>
    </w:p>
    <w:p w14:paraId="0BE7B852" w14:textId="5F3E2715" w:rsidR="00792FD8" w:rsidRPr="003A2EB4" w:rsidRDefault="00792FD8" w:rsidP="00E05BEE">
      <w:r w:rsidRPr="003A2EB4">
        <w:t>Discrimination and stigma are drivers of violence towards LGBTQIA+ people and create barriers for effective help. Almost one in two LGBTQIA+ people (45%) have experienced sexual assault.</w:t>
      </w:r>
      <w:r w:rsidRPr="003A2EB4">
        <w:rPr>
          <w:rStyle w:val="FootnoteReference"/>
        </w:rPr>
        <w:footnoteReference w:id="17"/>
      </w:r>
    </w:p>
    <w:p w14:paraId="31E19FE6" w14:textId="77777777" w:rsidR="00907236" w:rsidRPr="003A2EB4" w:rsidRDefault="00907236">
      <w:pPr>
        <w:autoSpaceDE/>
        <w:autoSpaceDN/>
        <w:adjustRightInd/>
        <w:spacing w:before="0" w:after="160" w:line="259" w:lineRule="auto"/>
        <w:rPr>
          <w:rFonts w:eastAsia="Times New Roman"/>
          <w:b/>
          <w:color w:val="293D8A"/>
          <w:sz w:val="32"/>
          <w:szCs w:val="32"/>
          <w:lang w:eastAsia="ja-JP"/>
          <w14:ligatures w14:val="none"/>
        </w:rPr>
      </w:pPr>
      <w:r w:rsidRPr="003A2EB4">
        <w:br w:type="page"/>
      </w:r>
    </w:p>
    <w:p w14:paraId="06774A9D" w14:textId="042F9E89" w:rsidR="000F683A" w:rsidRPr="003A2EB4" w:rsidRDefault="00F16382" w:rsidP="00E05BEE">
      <w:pPr>
        <w:pStyle w:val="Heading1"/>
      </w:pPr>
      <w:r w:rsidRPr="003A2EB4">
        <w:lastRenderedPageBreak/>
        <w:t>Working together with iwi, Māori and communities</w:t>
      </w:r>
    </w:p>
    <w:p w14:paraId="697C2E10" w14:textId="77777777" w:rsidR="009F6EFF" w:rsidRPr="003A2EB4" w:rsidRDefault="009F6EFF" w:rsidP="00E05BEE">
      <w:r w:rsidRPr="003A2EB4">
        <w:t xml:space="preserve">The first Te Aorerekura Action Plan laid the foundations for building enduring relationships between government, the family violence and sexual violence sectors, and communities. </w:t>
      </w:r>
    </w:p>
    <w:p w14:paraId="431554DE" w14:textId="24659E71" w:rsidR="009F6EFF" w:rsidRPr="003A2EB4" w:rsidRDefault="009F6EFF" w:rsidP="00E05BEE">
      <w:r w:rsidRPr="003A2EB4">
        <w:t xml:space="preserve">Now, as we look to the next five years, we must navigate a period of change as we seek to do things differently. The strength of these relationships will help us to move forward. </w:t>
      </w:r>
    </w:p>
    <w:p w14:paraId="34A92EF8" w14:textId="73529B1B" w:rsidR="009F6EFF" w:rsidRPr="003A2EB4" w:rsidRDefault="009F6EFF" w:rsidP="00E05BEE">
      <w:r w:rsidRPr="003A2EB4">
        <w:t>Most importantly we must not forget that we are here to ensure that we deliver positive change for those impacted by violence. We will work to ensure that the voices and experiences of victims/survivors remain central to all that we do.</w:t>
      </w:r>
    </w:p>
    <w:p w14:paraId="1DA14978" w14:textId="5538B73B" w:rsidR="00F16382" w:rsidRPr="003A2EB4" w:rsidRDefault="00F16382" w:rsidP="00E05BEE">
      <w:pPr>
        <w:pStyle w:val="Heading2"/>
      </w:pPr>
      <w:r w:rsidRPr="003A2EB4">
        <w:t>Working with Māori</w:t>
      </w:r>
    </w:p>
    <w:p w14:paraId="18725F69" w14:textId="77777777" w:rsidR="00F16382" w:rsidRPr="003A2EB4" w:rsidRDefault="00F16382" w:rsidP="00E05BEE">
      <w:r w:rsidRPr="003A2EB4">
        <w:t xml:space="preserve">Recognising that Māori are disproportionately affected by violence, we will continue to partner with iwi, hapū and hapori (Māori communities) to implement this plan. </w:t>
      </w:r>
    </w:p>
    <w:p w14:paraId="1C1BD535" w14:textId="7CBA76F4" w:rsidR="00F16382" w:rsidRPr="003A2EB4" w:rsidRDefault="00F16382" w:rsidP="00E05BEE">
      <w:r w:rsidRPr="003A2EB4">
        <w:t>This will involve working together to understand the barriers to implementing changes that make a difference, particularly as part of a local or regional response to violence for whānau.</w:t>
      </w:r>
    </w:p>
    <w:p w14:paraId="14285B1C" w14:textId="463BAD57" w:rsidR="00F16382" w:rsidRPr="003A2EB4" w:rsidRDefault="00F16382" w:rsidP="00E05BEE">
      <w:pPr>
        <w:pStyle w:val="Heading2"/>
      </w:pPr>
      <w:r w:rsidRPr="003A2EB4">
        <w:t>How we will work together</w:t>
      </w:r>
    </w:p>
    <w:p w14:paraId="68326D39" w14:textId="77777777" w:rsidR="00F16382" w:rsidRPr="003A2EB4" w:rsidRDefault="00F16382" w:rsidP="008A5FA0">
      <w:pPr>
        <w:pStyle w:val="Heading3"/>
      </w:pPr>
      <w:r w:rsidRPr="003A2EB4">
        <w:t xml:space="preserve">Engage with purpose </w:t>
      </w:r>
    </w:p>
    <w:p w14:paraId="7F592CCA" w14:textId="77777777" w:rsidR="00F16382" w:rsidRPr="003A2EB4" w:rsidRDefault="00F16382" w:rsidP="00E05BEE">
      <w:r w:rsidRPr="003A2EB4">
        <w:t xml:space="preserve">Being clear on the reason for engagement and expectations. </w:t>
      </w:r>
    </w:p>
    <w:p w14:paraId="0B1422BE" w14:textId="71951525" w:rsidR="00F16382" w:rsidRPr="003A2EB4" w:rsidRDefault="00F16382" w:rsidP="00E05BEE">
      <w:r w:rsidRPr="003A2EB4">
        <w:t>Government will work with communities and regional partners to understand local needs, requirements and opportunities.</w:t>
      </w:r>
    </w:p>
    <w:p w14:paraId="05FC8944" w14:textId="77777777" w:rsidR="00F16382" w:rsidRPr="003A2EB4" w:rsidRDefault="00F16382" w:rsidP="008A5FA0">
      <w:pPr>
        <w:pStyle w:val="Heading3"/>
      </w:pPr>
      <w:r w:rsidRPr="003A2EB4">
        <w:t xml:space="preserve">Incorporate victim/ survivor and whānau voice into design and delivery </w:t>
      </w:r>
    </w:p>
    <w:p w14:paraId="476AAF8B" w14:textId="004F870C" w:rsidR="00F16382" w:rsidRPr="003A2EB4" w:rsidRDefault="00F16382" w:rsidP="00E05BEE">
      <w:r w:rsidRPr="003A2EB4">
        <w:t>Elevating the voices and needs victims/survivors, diverse groups, and communities to ensure their needs inform the design and implementation of actions.</w:t>
      </w:r>
    </w:p>
    <w:p w14:paraId="20CDE9B3" w14:textId="77777777" w:rsidR="00F16382" w:rsidRPr="003A2EB4" w:rsidRDefault="00F16382" w:rsidP="008A5FA0">
      <w:pPr>
        <w:pStyle w:val="Heading3"/>
      </w:pPr>
      <w:r w:rsidRPr="003A2EB4">
        <w:t xml:space="preserve">Address barriers </w:t>
      </w:r>
    </w:p>
    <w:p w14:paraId="7EDCBCEE" w14:textId="7556DFA0" w:rsidR="00F16382" w:rsidRPr="003A2EB4" w:rsidRDefault="00F16382" w:rsidP="00E05BEE">
      <w:r w:rsidRPr="003A2EB4">
        <w:t>Working with government agency partners to identify, understand, and address barriers facing communities and the family violence and sexual violence sectors so we can improve how we keep people safe, supported and thriving.</w:t>
      </w:r>
    </w:p>
    <w:p w14:paraId="170D1AAB" w14:textId="77777777" w:rsidR="001934C5" w:rsidRPr="003A2EB4" w:rsidRDefault="001934C5" w:rsidP="008A5FA0">
      <w:pPr>
        <w:pStyle w:val="Heading3"/>
      </w:pPr>
      <w:r w:rsidRPr="003A2EB4">
        <w:t xml:space="preserve">Provide direction </w:t>
      </w:r>
    </w:p>
    <w:p w14:paraId="3F090D7D" w14:textId="6B14C66C" w:rsidR="001934C5" w:rsidRPr="003A2EB4" w:rsidRDefault="001934C5" w:rsidP="00E05BEE">
      <w:r w:rsidRPr="003A2EB4">
        <w:t>Offer clarity to communities and the family violence and sexual violence sectors on where government will focus attention and energy over the short to medium term.</w:t>
      </w:r>
    </w:p>
    <w:p w14:paraId="5C15384E" w14:textId="77777777" w:rsidR="00907236" w:rsidRPr="003A2EB4" w:rsidRDefault="00907236">
      <w:pPr>
        <w:autoSpaceDE/>
        <w:autoSpaceDN/>
        <w:adjustRightInd/>
        <w:spacing w:before="0" w:after="160" w:line="259" w:lineRule="auto"/>
        <w:rPr>
          <w:rFonts w:eastAsia="Times New Roman"/>
          <w:b/>
          <w:color w:val="293D8A"/>
          <w:sz w:val="32"/>
          <w:szCs w:val="32"/>
          <w:lang w:eastAsia="ja-JP"/>
          <w14:ligatures w14:val="none"/>
        </w:rPr>
      </w:pPr>
      <w:r w:rsidRPr="003A2EB4">
        <w:br w:type="page"/>
      </w:r>
    </w:p>
    <w:p w14:paraId="7B0E92BC" w14:textId="37C001E3" w:rsidR="00D40C70" w:rsidRPr="003A2EB4" w:rsidRDefault="00D40C70" w:rsidP="00E05BEE">
      <w:pPr>
        <w:pStyle w:val="Heading1"/>
      </w:pPr>
      <w:r w:rsidRPr="003A2EB4">
        <w:lastRenderedPageBreak/>
        <w:t>Investing and commissioning well</w:t>
      </w:r>
    </w:p>
    <w:p w14:paraId="553C2893" w14:textId="77777777" w:rsidR="00D40C70" w:rsidRPr="003A2EB4" w:rsidRDefault="00D40C70" w:rsidP="00E05BEE">
      <w:r w:rsidRPr="003A2EB4">
        <w:t xml:space="preserve">People affected by violence need access to a range of services to meet their needs and be safe, recover and heal from violence. </w:t>
      </w:r>
    </w:p>
    <w:p w14:paraId="554F5A23" w14:textId="77777777" w:rsidR="00D40C70" w:rsidRPr="003A2EB4" w:rsidRDefault="00D40C70" w:rsidP="00E05BEE">
      <w:r w:rsidRPr="003A2EB4">
        <w:t xml:space="preserve">Annually, government directly invests over $1.3 billion in family violence and sexual violence services and initiatives. </w:t>
      </w:r>
    </w:p>
    <w:p w14:paraId="3065DE54" w14:textId="7FED7FDE" w:rsidR="00D40C70" w:rsidRPr="003A2EB4" w:rsidRDefault="00D40C70" w:rsidP="00E05BEE">
      <w:r w:rsidRPr="003A2EB4">
        <w:t>We need to ensure this funding is being invested in what works and that we stop doing things that are not effective.</w:t>
      </w:r>
    </w:p>
    <w:p w14:paraId="5A29570C" w14:textId="6522D06D" w:rsidR="00D40C70" w:rsidRPr="003A2EB4" w:rsidRDefault="00F6502C" w:rsidP="00E05BEE">
      <w:pPr>
        <w:pStyle w:val="Heading2"/>
      </w:pPr>
      <w:r w:rsidRPr="003A2EB4">
        <w:t>Adopting a social investment approach</w:t>
      </w:r>
    </w:p>
    <w:p w14:paraId="05E257C0" w14:textId="78CB7F24" w:rsidR="00D40C70" w:rsidRPr="003A2EB4" w:rsidRDefault="00AE1551" w:rsidP="00E05BEE">
      <w:r w:rsidRPr="003A2EB4">
        <w:t>Social investment will guide how we will make investment decisions. By taking a whole-of-government approach to investment across the family violence and sexual violence system, we will gain an understanding of what we are delivering; what needs to change and how to innovate to ensure people get the right support for their needs.</w:t>
      </w:r>
    </w:p>
    <w:p w14:paraId="16043873" w14:textId="1A823716" w:rsidR="00F6502C" w:rsidRPr="003A2EB4" w:rsidRDefault="00F6502C" w:rsidP="008A5FA0">
      <w:pPr>
        <w:pStyle w:val="Heading3"/>
      </w:pPr>
      <w:r w:rsidRPr="003A2EB4">
        <w:t xml:space="preserve">Focus on improving outcomes </w:t>
      </w:r>
    </w:p>
    <w:p w14:paraId="03696B9A" w14:textId="03A2C24A" w:rsidR="00AE1551" w:rsidRPr="003A2EB4" w:rsidRDefault="00AE1551" w:rsidP="00E05BEE">
      <w:r w:rsidRPr="003A2EB4">
        <w:t>Being clear about the difference we will make in people’s lives</w:t>
      </w:r>
    </w:p>
    <w:p w14:paraId="4BF9BB42" w14:textId="36F01146" w:rsidR="00F6502C" w:rsidRPr="003A2EB4" w:rsidRDefault="00F6502C" w:rsidP="008A5FA0">
      <w:pPr>
        <w:pStyle w:val="Heading3"/>
      </w:pPr>
      <w:r w:rsidRPr="003A2EB4">
        <w:t xml:space="preserve">Investing in the right things in the right places </w:t>
      </w:r>
    </w:p>
    <w:p w14:paraId="7B5D4D1B" w14:textId="1087FCCB" w:rsidR="00AE1551" w:rsidRPr="003A2EB4" w:rsidRDefault="00AE1551" w:rsidP="00E05BEE">
      <w:r w:rsidRPr="003A2EB4">
        <w:t>Using evidence and data to understand need, where and how to make effective investments</w:t>
      </w:r>
    </w:p>
    <w:p w14:paraId="73EE461F" w14:textId="351F7823" w:rsidR="00F6502C" w:rsidRPr="003A2EB4" w:rsidRDefault="00F6502C" w:rsidP="008A5FA0">
      <w:pPr>
        <w:pStyle w:val="Heading3"/>
      </w:pPr>
      <w:r w:rsidRPr="003A2EB4">
        <w:t xml:space="preserve">Evaluating for impact </w:t>
      </w:r>
    </w:p>
    <w:p w14:paraId="17D8155E" w14:textId="32D36C4B" w:rsidR="00AE1551" w:rsidRPr="003A2EB4" w:rsidRDefault="00AE1551" w:rsidP="00E05BEE">
      <w:r w:rsidRPr="003A2EB4">
        <w:t>Ensuring robust evaluative practices are in place to understand if we are having the intended effect and what might need to change</w:t>
      </w:r>
    </w:p>
    <w:p w14:paraId="5D28C5C7" w14:textId="0CDB017F" w:rsidR="00F6502C" w:rsidRPr="003A2EB4" w:rsidRDefault="00F6502C" w:rsidP="008A5FA0">
      <w:pPr>
        <w:pStyle w:val="Heading3"/>
      </w:pPr>
      <w:r w:rsidRPr="003A2EB4">
        <w:t xml:space="preserve">Commissioning differently </w:t>
      </w:r>
    </w:p>
    <w:p w14:paraId="2FDFF414" w14:textId="21F207FA" w:rsidR="00AE1551" w:rsidRPr="003A2EB4" w:rsidRDefault="00AE1551" w:rsidP="00E05BEE">
      <w:r w:rsidRPr="003A2EB4">
        <w:t>Enabling local providers to deliver differently to meet a range of needs to achieve outcomes</w:t>
      </w:r>
    </w:p>
    <w:p w14:paraId="7810EB7D" w14:textId="5F67E80C" w:rsidR="00AE1551" w:rsidRPr="003A2EB4" w:rsidRDefault="00F6502C" w:rsidP="00E05BEE">
      <w:pPr>
        <w:pStyle w:val="Heading2"/>
      </w:pPr>
      <w:r w:rsidRPr="003A2EB4">
        <w:t>What we will do</w:t>
      </w:r>
    </w:p>
    <w:p w14:paraId="581AD052" w14:textId="5BD1B9F2" w:rsidR="00F6502C" w:rsidRPr="003A2EB4" w:rsidRDefault="00F6502C" w:rsidP="008A5FA0">
      <w:pPr>
        <w:pStyle w:val="Heading3"/>
      </w:pPr>
      <w:r w:rsidRPr="003A2EB4">
        <w:t xml:space="preserve">Investment prioritisation </w:t>
      </w:r>
    </w:p>
    <w:p w14:paraId="1A4BC149" w14:textId="303E10E4" w:rsidR="005131D2" w:rsidRPr="003A2EB4" w:rsidRDefault="005131D2" w:rsidP="00E05BEE">
      <w:r w:rsidRPr="003A2EB4">
        <w:t>Undertake a review of family violence and sexual violence spend across government to inform collective investment decisions. This will identify opportunities to prioritise funding where it will have the most impact for people and communities. Phase 1 will focus on collectively appropriated family violence and sexual violence funding from 2018-2023. Phase 2 will involve a review of investment across the family violence and sexual violence portfolio, including baselines. This will be followed by annual updates.</w:t>
      </w:r>
    </w:p>
    <w:p w14:paraId="2B2466D5" w14:textId="5343F851" w:rsidR="005131D2" w:rsidRPr="003A2EB4" w:rsidRDefault="005131D2" w:rsidP="00E05BEE">
      <w:r w:rsidRPr="003A2EB4">
        <w:rPr>
          <w:b/>
          <w:bCs/>
        </w:rPr>
        <w:t>When:</w:t>
      </w:r>
      <w:r w:rsidRPr="003A2EB4">
        <w:t xml:space="preserve"> </w:t>
      </w:r>
      <w:r w:rsidR="00B968FF" w:rsidRPr="003A2EB4">
        <w:t>June</w:t>
      </w:r>
      <w:r w:rsidRPr="003A2EB4">
        <w:t xml:space="preserve"> 2026</w:t>
      </w:r>
    </w:p>
    <w:p w14:paraId="08C07DC0" w14:textId="351DD0BD" w:rsidR="005131D2" w:rsidRPr="003A2EB4" w:rsidRDefault="005131D2" w:rsidP="00E05BEE">
      <w:r w:rsidRPr="003A2EB4">
        <w:rPr>
          <w:b/>
          <w:bCs/>
        </w:rPr>
        <w:t xml:space="preserve">Partners: </w:t>
      </w:r>
      <w:r w:rsidRPr="003A2EB4">
        <w:t>Te Puna Aonui agencies, Social Investment Agency</w:t>
      </w:r>
    </w:p>
    <w:p w14:paraId="0F64726F" w14:textId="540C5639" w:rsidR="005131D2" w:rsidRPr="003A2EB4" w:rsidRDefault="005131D2" w:rsidP="00E05BEE">
      <w:r w:rsidRPr="003A2EB4">
        <w:rPr>
          <w:b/>
          <w:bCs/>
        </w:rPr>
        <w:t>Milestones:</w:t>
      </w:r>
      <w:r w:rsidRPr="003A2EB4">
        <w:t xml:space="preserve"> May 2025 – Phase 1 Review and prioritisation of investment; May 2026 – Phase 2 Full review and prioritisation of investment</w:t>
      </w:r>
    </w:p>
    <w:p w14:paraId="3C68D272" w14:textId="5EA8A522" w:rsidR="00F6502C" w:rsidRPr="003A2EB4" w:rsidRDefault="00267BC6" w:rsidP="008A5FA0">
      <w:pPr>
        <w:pStyle w:val="Heading3"/>
      </w:pPr>
      <w:r w:rsidRPr="003A2EB4">
        <w:t>Contracting differently for better outcomes</w:t>
      </w:r>
    </w:p>
    <w:p w14:paraId="3D774AC3" w14:textId="77777777" w:rsidR="00B96952" w:rsidRPr="003A2EB4" w:rsidRDefault="00B96952" w:rsidP="00E05BEE">
      <w:r w:rsidRPr="003A2EB4">
        <w:t xml:space="preserve">Explore opportunities to apply social sector commissioning principles to increase the efficiency, accessibility and effectiveness of services, and improve outcomes. </w:t>
      </w:r>
    </w:p>
    <w:p w14:paraId="4426F4B5" w14:textId="77777777" w:rsidR="00B96952" w:rsidRPr="003A2EB4" w:rsidRDefault="00B96952" w:rsidP="00E05BEE">
      <w:r w:rsidRPr="003A2EB4">
        <w:lastRenderedPageBreak/>
        <w:t xml:space="preserve">We will undertake a review of family violence and sexual violence services and contracts. This will identify opportunities for greater alignment across contracts and pilot an outcomes-based contract. In the first instance this will focus on contracts that support multi-agency responses and services for people who use violence. </w:t>
      </w:r>
    </w:p>
    <w:p w14:paraId="39ABD2A1" w14:textId="27A4F930" w:rsidR="00B96952" w:rsidRPr="003A2EB4" w:rsidRDefault="00B96952" w:rsidP="00E05BEE">
      <w:r w:rsidRPr="003A2EB4">
        <w:rPr>
          <w:b/>
          <w:bCs/>
        </w:rPr>
        <w:t xml:space="preserve">When: </w:t>
      </w:r>
      <w:r w:rsidR="00B968FF" w:rsidRPr="003A2EB4">
        <w:t>July</w:t>
      </w:r>
      <w:r w:rsidRPr="003A2EB4">
        <w:t xml:space="preserve"> 2026 </w:t>
      </w:r>
    </w:p>
    <w:p w14:paraId="4662077F" w14:textId="77777777" w:rsidR="00B96952" w:rsidRPr="003A2EB4" w:rsidRDefault="00B96952" w:rsidP="00E05BEE">
      <w:r w:rsidRPr="003A2EB4">
        <w:rPr>
          <w:b/>
          <w:bCs/>
        </w:rPr>
        <w:t>Partners:</w:t>
      </w:r>
      <w:r w:rsidRPr="003A2EB4">
        <w:t xml:space="preserve"> Te Puna Aonui agencies </w:t>
      </w:r>
    </w:p>
    <w:p w14:paraId="597A277D" w14:textId="06AD6774" w:rsidR="00907236" w:rsidRPr="003A2EB4" w:rsidRDefault="00B96952" w:rsidP="00907236">
      <w:r w:rsidRPr="003A2EB4">
        <w:rPr>
          <w:b/>
          <w:bCs/>
        </w:rPr>
        <w:t>Milestones:</w:t>
      </w:r>
      <w:r w:rsidRPr="003A2EB4">
        <w:t xml:space="preserve"> </w:t>
      </w:r>
      <w:r w:rsidR="00B968FF" w:rsidRPr="003A2EB4">
        <w:t>December</w:t>
      </w:r>
      <w:r w:rsidRPr="003A2EB4">
        <w:t xml:space="preserve"> 2025 – Review of contract alignment options; </w:t>
      </w:r>
      <w:r w:rsidR="00B968FF" w:rsidRPr="003A2EB4">
        <w:t>December</w:t>
      </w:r>
      <w:r w:rsidRPr="003A2EB4">
        <w:t xml:space="preserve"> 2025 – Pilot an outcomes-based contract in one location with one provider; </w:t>
      </w:r>
      <w:r w:rsidR="00B968FF" w:rsidRPr="003A2EB4">
        <w:t>July</w:t>
      </w:r>
      <w:r w:rsidRPr="003A2EB4">
        <w:t xml:space="preserve"> 2026 – Aligned contract reporting</w:t>
      </w:r>
      <w:r w:rsidR="00907236" w:rsidRPr="003A2EB4">
        <w:br w:type="page"/>
      </w:r>
    </w:p>
    <w:p w14:paraId="2FCFB331" w14:textId="351DF62F" w:rsidR="00E647C3" w:rsidRPr="003A2EB4" w:rsidRDefault="00ED6FCA" w:rsidP="00E05BEE">
      <w:pPr>
        <w:pStyle w:val="Heading1"/>
      </w:pPr>
      <w:r w:rsidRPr="003A2EB4">
        <w:lastRenderedPageBreak/>
        <w:t>Keeping people safe</w:t>
      </w:r>
    </w:p>
    <w:p w14:paraId="7F69DE4D" w14:textId="77777777" w:rsidR="00E647C3" w:rsidRPr="003A2EB4" w:rsidRDefault="00E647C3" w:rsidP="00E05BEE">
      <w:r w:rsidRPr="003A2EB4">
        <w:t xml:space="preserve">No single agency or organisation has all the levers to prevent violence and keep people safe from violence. </w:t>
      </w:r>
    </w:p>
    <w:p w14:paraId="1273C6D4" w14:textId="13820E43" w:rsidR="00E647C3" w:rsidRPr="003A2EB4" w:rsidRDefault="00E647C3" w:rsidP="00E05BEE">
      <w:r w:rsidRPr="003A2EB4">
        <w:t>We need to strengthen how agencies respond to family violence by improving the way they work together. This means improving multi-agency responses in partnership with local organisations and iwi to better manage risk and intervene early so people get the right support at the right time.</w:t>
      </w:r>
    </w:p>
    <w:p w14:paraId="6DBE11D0" w14:textId="00827317" w:rsidR="00E647C3" w:rsidRPr="003A2EB4" w:rsidRDefault="00ED6FCA" w:rsidP="00E05BEE">
      <w:pPr>
        <w:pStyle w:val="Heading2"/>
      </w:pPr>
      <w:r w:rsidRPr="003A2EB4">
        <w:t>Building an effective multi-agency response</w:t>
      </w:r>
    </w:p>
    <w:p w14:paraId="2B28BCC2" w14:textId="63A4A354" w:rsidR="00E647C3" w:rsidRPr="003A2EB4" w:rsidRDefault="00E647C3" w:rsidP="00E05BEE">
      <w:r w:rsidRPr="003A2EB4">
        <w:t>There are four interconnected components to our work to strengthen multi-agency responses which have informed what we will do and the activities we will undertake.</w:t>
      </w:r>
    </w:p>
    <w:p w14:paraId="1702AD7A" w14:textId="40433741" w:rsidR="00E647C3" w:rsidRPr="003A2EB4" w:rsidRDefault="00E647C3" w:rsidP="005748F5">
      <w:pPr>
        <w:pStyle w:val="ListParagraph"/>
        <w:numPr>
          <w:ilvl w:val="0"/>
          <w:numId w:val="22"/>
        </w:numPr>
      </w:pPr>
      <w:r w:rsidRPr="003A2EB4">
        <w:t>Strong governance, leadership and ways of working</w:t>
      </w:r>
    </w:p>
    <w:p w14:paraId="75BD071F" w14:textId="46A30702" w:rsidR="00E647C3" w:rsidRPr="003A2EB4" w:rsidRDefault="00E647C3" w:rsidP="005748F5">
      <w:pPr>
        <w:pStyle w:val="ListParagraph"/>
      </w:pPr>
      <w:r w:rsidRPr="003A2EB4">
        <w:t>Delivering joined-up approaches for planning, resources and services</w:t>
      </w:r>
    </w:p>
    <w:p w14:paraId="0930EC7C" w14:textId="40A6CE0B" w:rsidR="00DE225E" w:rsidRPr="003A2EB4" w:rsidRDefault="00DE225E" w:rsidP="005748F5">
      <w:pPr>
        <w:pStyle w:val="ListParagraph"/>
      </w:pPr>
      <w:r w:rsidRPr="003A2EB4">
        <w:t>Consistent approach to understanding and managing risk</w:t>
      </w:r>
    </w:p>
    <w:p w14:paraId="364840DD" w14:textId="53483D36" w:rsidR="00DE225E" w:rsidRPr="003A2EB4" w:rsidRDefault="00DE225E" w:rsidP="005748F5">
      <w:pPr>
        <w:pStyle w:val="ListParagraph"/>
      </w:pPr>
      <w:r w:rsidRPr="003A2EB4">
        <w:t>Improving information sharing</w:t>
      </w:r>
    </w:p>
    <w:p w14:paraId="0B9D0FEB" w14:textId="181C3EAF" w:rsidR="00264EA4" w:rsidRPr="003A2EB4" w:rsidRDefault="00264EA4" w:rsidP="00E05BEE">
      <w:pPr>
        <w:pStyle w:val="Heading2"/>
      </w:pPr>
      <w:r w:rsidRPr="003A2EB4">
        <w:t>Who we are focused on</w:t>
      </w:r>
    </w:p>
    <w:p w14:paraId="32DFD8A3" w14:textId="3C707208" w:rsidR="00264EA4" w:rsidRPr="003A2EB4" w:rsidRDefault="00264EA4" w:rsidP="00E05BEE">
      <w:r w:rsidRPr="003A2EB4">
        <w:t>Everyone affected by violence deserves a response that meets their needs. There are varying degrees of risk and need that require different levels of support. Over the next two years we will focus on improving multi-agency responses for people who are at high risk and those with complex needs who experience violence.</w:t>
      </w:r>
    </w:p>
    <w:p w14:paraId="0890C2AE" w14:textId="1D37ED4D" w:rsidR="00264EA4" w:rsidRPr="003A2EB4" w:rsidRDefault="00264EA4" w:rsidP="00E05BEE">
      <w:r w:rsidRPr="003A2EB4">
        <w:rPr>
          <w:b/>
          <w:bCs/>
        </w:rPr>
        <w:t>Who:</w:t>
      </w:r>
      <w:r w:rsidRPr="003A2EB4">
        <w:t xml:space="preserve"> People at high risk of death, injury, and revictimisation, and high-risk perpetrators of violence</w:t>
      </w:r>
    </w:p>
    <w:p w14:paraId="129947DA" w14:textId="5A6102BB" w:rsidR="00264EA4" w:rsidRPr="003A2EB4" w:rsidRDefault="00264EA4" w:rsidP="00E05BEE">
      <w:r w:rsidRPr="003A2EB4">
        <w:rPr>
          <w:b/>
          <w:bCs/>
        </w:rPr>
        <w:t>Support needed:</w:t>
      </w:r>
      <w:r w:rsidRPr="003A2EB4">
        <w:t xml:space="preserve"> Specialist, intensive support focused on creating safety for victims/survivors</w:t>
      </w:r>
    </w:p>
    <w:p w14:paraId="5D4116D0" w14:textId="0791C4F5" w:rsidR="00264EA4" w:rsidRPr="003A2EB4" w:rsidRDefault="00264EA4" w:rsidP="00E05BEE">
      <w:r w:rsidRPr="003A2EB4">
        <w:rPr>
          <w:b/>
          <w:bCs/>
        </w:rPr>
        <w:t>Who:</w:t>
      </w:r>
      <w:r w:rsidRPr="003A2EB4">
        <w:t xml:space="preserve"> People experiencing or using violence with complex needs, with a focus on children and young people</w:t>
      </w:r>
    </w:p>
    <w:p w14:paraId="2514FFBB" w14:textId="168C351E" w:rsidR="00264EA4" w:rsidRPr="003A2EB4" w:rsidRDefault="00264EA4" w:rsidP="00E05BEE">
      <w:r w:rsidRPr="003A2EB4">
        <w:rPr>
          <w:b/>
          <w:bCs/>
        </w:rPr>
        <w:t>Support needed:</w:t>
      </w:r>
      <w:r w:rsidRPr="003A2EB4">
        <w:t xml:space="preserve"> Targeted help and support that addresses need and is joined up</w:t>
      </w:r>
    </w:p>
    <w:p w14:paraId="20EA50A9" w14:textId="2396D80D" w:rsidR="00264EA4" w:rsidRPr="003A2EB4" w:rsidRDefault="00264EA4" w:rsidP="00E05BEE">
      <w:r w:rsidRPr="003A2EB4">
        <w:rPr>
          <w:b/>
          <w:bCs/>
        </w:rPr>
        <w:t>Who:</w:t>
      </w:r>
      <w:r w:rsidRPr="003A2EB4">
        <w:t xml:space="preserve"> People exposed to violence</w:t>
      </w:r>
    </w:p>
    <w:p w14:paraId="58251931" w14:textId="1490C088" w:rsidR="00264EA4" w:rsidRPr="003A2EB4" w:rsidRDefault="00264EA4" w:rsidP="00E05BEE">
      <w:r w:rsidRPr="003A2EB4">
        <w:rPr>
          <w:b/>
          <w:bCs/>
        </w:rPr>
        <w:t>Support needed:</w:t>
      </w:r>
      <w:r w:rsidRPr="003A2EB4">
        <w:t xml:space="preserve"> </w:t>
      </w:r>
      <w:r w:rsidR="00975EBC" w:rsidRPr="003A2EB4">
        <w:t>Intervening and providing support to prevent escalation</w:t>
      </w:r>
    </w:p>
    <w:p w14:paraId="45455874" w14:textId="5806AB41" w:rsidR="00264EA4" w:rsidRPr="003A2EB4" w:rsidRDefault="00264EA4" w:rsidP="00E05BEE">
      <w:r w:rsidRPr="003A2EB4">
        <w:rPr>
          <w:b/>
          <w:bCs/>
        </w:rPr>
        <w:t>Who:</w:t>
      </w:r>
      <w:r w:rsidRPr="003A2EB4">
        <w:t xml:space="preserve"> </w:t>
      </w:r>
      <w:r w:rsidR="00975EBC" w:rsidRPr="003A2EB4">
        <w:t>All people and communities</w:t>
      </w:r>
    </w:p>
    <w:p w14:paraId="105F44EB" w14:textId="1D29817D" w:rsidR="00264EA4" w:rsidRPr="003A2EB4" w:rsidRDefault="00264EA4" w:rsidP="00E05BEE">
      <w:r w:rsidRPr="003A2EB4">
        <w:rPr>
          <w:b/>
          <w:bCs/>
        </w:rPr>
        <w:t>Support needed:</w:t>
      </w:r>
      <w:r w:rsidRPr="003A2EB4">
        <w:t xml:space="preserve"> </w:t>
      </w:r>
      <w:r w:rsidR="00975EBC" w:rsidRPr="003A2EB4">
        <w:t>The right information and resources on violence and how to recognise, respond, and refer</w:t>
      </w:r>
    </w:p>
    <w:p w14:paraId="6B19C18C" w14:textId="3C8D0287" w:rsidR="00264EA4" w:rsidRPr="003A2EB4" w:rsidRDefault="00CC4777" w:rsidP="00CC4777">
      <w:pPr>
        <w:pStyle w:val="Heading1"/>
      </w:pPr>
      <w:r w:rsidRPr="003A2EB4">
        <w:t>Keeping people safe</w:t>
      </w:r>
    </w:p>
    <w:p w14:paraId="0EEFFE38" w14:textId="635593B5" w:rsidR="00CC4777" w:rsidRPr="003A2EB4" w:rsidRDefault="000B64B5" w:rsidP="000B64B5">
      <w:pPr>
        <w:pStyle w:val="Heading2"/>
      </w:pPr>
      <w:r w:rsidRPr="003A2EB4">
        <w:t>What we will do</w:t>
      </w:r>
    </w:p>
    <w:p w14:paraId="4359E002" w14:textId="36EFFE7D" w:rsidR="00CC4777" w:rsidRPr="003A2EB4" w:rsidRDefault="000B64B5" w:rsidP="008A5FA0">
      <w:pPr>
        <w:pStyle w:val="Heading3"/>
      </w:pPr>
      <w:r w:rsidRPr="003A2EB4">
        <w:t>Strong governance, leadership and ways of working</w:t>
      </w:r>
    </w:p>
    <w:p w14:paraId="690D21AA" w14:textId="77777777" w:rsidR="000B64B5" w:rsidRPr="003A2EB4" w:rsidRDefault="000B64B5" w:rsidP="00CC4777">
      <w:pPr>
        <w:tabs>
          <w:tab w:val="left" w:pos="4103"/>
        </w:tabs>
      </w:pPr>
      <w:r w:rsidRPr="003A2EB4">
        <w:t xml:space="preserve">Effective multi-agency responses need strong governance, collaboration, and robust systems and practices to support joined-up working, effective cross-organisational planning for service delivery, and strong risk management practices, to keep people safe. </w:t>
      </w:r>
    </w:p>
    <w:p w14:paraId="77E7C2E4" w14:textId="77777777" w:rsidR="000B64B5" w:rsidRPr="003A2EB4" w:rsidRDefault="000B64B5" w:rsidP="00CC4777">
      <w:pPr>
        <w:tabs>
          <w:tab w:val="left" w:pos="4103"/>
        </w:tabs>
      </w:pPr>
      <w:r w:rsidRPr="003A2EB4">
        <w:lastRenderedPageBreak/>
        <w:t xml:space="preserve">Agencies are already working with communities and iwi, and there are strong examples of good practice in some regions. However, this is inconsistent and there are opportunities to support regions and localities to strengthen their governance, leadership and ways of working. This ensures that responses are victim/survivor and child-centred, and barriers are removed, so that people can get help when they need it to be safe. </w:t>
      </w:r>
    </w:p>
    <w:p w14:paraId="7995CC22" w14:textId="77777777" w:rsidR="000B64B5" w:rsidRPr="003A2EB4" w:rsidRDefault="000B64B5" w:rsidP="00CC4777">
      <w:pPr>
        <w:tabs>
          <w:tab w:val="left" w:pos="4103"/>
        </w:tabs>
      </w:pPr>
      <w:r w:rsidRPr="003A2EB4">
        <w:t xml:space="preserve">We will initially focus on six regions and 12 localities (see ‘where we will focus’) and work together with iwi and communities, we will co-design local approaches to develop Local System Improvement Plans Lessons will be shared nationally to support the maturity and development of other regions. </w:t>
      </w:r>
    </w:p>
    <w:p w14:paraId="7A1BE784" w14:textId="112CAA81" w:rsidR="000B64B5" w:rsidRPr="003A2EB4" w:rsidRDefault="000B64B5" w:rsidP="00CC4777">
      <w:pPr>
        <w:tabs>
          <w:tab w:val="left" w:pos="4103"/>
        </w:tabs>
      </w:pPr>
      <w:r w:rsidRPr="003A2EB4">
        <w:t>The Ministry of Justice will also explore the referral of protection orders to local multi-agency responses in two locations for joined-up risk assessments and service referrals. This will help test an alternative non-NZ Police referral pathway and bring the Family Court and multi-agency responses closer together.</w:t>
      </w:r>
    </w:p>
    <w:p w14:paraId="30DD200A" w14:textId="0610D9B7" w:rsidR="00155F87" w:rsidRPr="003A2EB4" w:rsidRDefault="00155F87" w:rsidP="00CC4777">
      <w:pPr>
        <w:tabs>
          <w:tab w:val="left" w:pos="4103"/>
        </w:tabs>
      </w:pPr>
      <w:r w:rsidRPr="003A2EB4">
        <w:rPr>
          <w:b/>
          <w:bCs/>
        </w:rPr>
        <w:t>When:</w:t>
      </w:r>
      <w:r w:rsidRPr="003A2EB4">
        <w:t xml:space="preserve"> </w:t>
      </w:r>
      <w:r w:rsidR="00B968FF" w:rsidRPr="003A2EB4">
        <w:t>December</w:t>
      </w:r>
      <w:r w:rsidRPr="003A2EB4">
        <w:t xml:space="preserve"> 2027 </w:t>
      </w:r>
    </w:p>
    <w:p w14:paraId="0BE0EA21" w14:textId="77777777" w:rsidR="00155F87" w:rsidRPr="003A2EB4" w:rsidRDefault="00155F87" w:rsidP="00CC4777">
      <w:pPr>
        <w:tabs>
          <w:tab w:val="left" w:pos="4103"/>
        </w:tabs>
      </w:pPr>
      <w:r w:rsidRPr="003A2EB4">
        <w:rPr>
          <w:b/>
          <w:bCs/>
        </w:rPr>
        <w:t xml:space="preserve">Partners: </w:t>
      </w:r>
      <w:r w:rsidRPr="003A2EB4">
        <w:t xml:space="preserve">Oranga Tamariki, NZ Police, Department of Corrections, Ministry of Social Development, Ministry of Education, Health New Zealand - Te Whatu Ora, Regional Public Service, Te Puna Aonui Business Unit </w:t>
      </w:r>
    </w:p>
    <w:p w14:paraId="3F093382" w14:textId="087AA4EB" w:rsidR="00155F87" w:rsidRPr="003A2EB4" w:rsidRDefault="00155F87" w:rsidP="00CC4777">
      <w:pPr>
        <w:tabs>
          <w:tab w:val="left" w:pos="4103"/>
        </w:tabs>
      </w:pPr>
      <w:r w:rsidRPr="003A2EB4">
        <w:rPr>
          <w:b/>
          <w:bCs/>
        </w:rPr>
        <w:t xml:space="preserve">Milestones: </w:t>
      </w:r>
      <w:r w:rsidR="00B968FF" w:rsidRPr="003A2EB4">
        <w:t>April</w:t>
      </w:r>
      <w:r w:rsidRPr="003A2EB4">
        <w:t xml:space="preserve"> 2025 – 12-month Local System Improvement Plan produced (phase 1 - Auckland City, Rotorua, Canterbury); </w:t>
      </w:r>
      <w:r w:rsidR="00B968FF" w:rsidRPr="003A2EB4">
        <w:t>July</w:t>
      </w:r>
      <w:r w:rsidRPr="003A2EB4">
        <w:t xml:space="preserve"> 2025 – 12-month Local System Improvement Plan produced (phase 2 - five localities); </w:t>
      </w:r>
      <w:r w:rsidR="00B968FF" w:rsidRPr="003A2EB4">
        <w:t>December</w:t>
      </w:r>
      <w:r w:rsidRPr="003A2EB4">
        <w:t xml:space="preserve"> 2025 – 12-month Local System Improvement Plan produced (phase 3 - four localities)</w:t>
      </w:r>
    </w:p>
    <w:p w14:paraId="31E79D9E" w14:textId="340084AA" w:rsidR="00C0034C" w:rsidRPr="003A2EB4" w:rsidRDefault="00D552F8" w:rsidP="00CC4777">
      <w:pPr>
        <w:tabs>
          <w:tab w:val="left" w:pos="4103"/>
        </w:tabs>
        <w:rPr>
          <w:b/>
          <w:bCs/>
        </w:rPr>
      </w:pPr>
      <w:r w:rsidRPr="003A2EB4">
        <w:rPr>
          <w:b/>
          <w:bCs/>
        </w:rPr>
        <w:t>Response c</w:t>
      </w:r>
      <w:r w:rsidR="0055686D" w:rsidRPr="003A2EB4">
        <w:rPr>
          <w:b/>
          <w:bCs/>
        </w:rPr>
        <w:t xml:space="preserve">omponent: </w:t>
      </w:r>
      <w:r w:rsidRPr="003A2EB4">
        <w:t xml:space="preserve">1. </w:t>
      </w:r>
      <w:r w:rsidR="0055686D" w:rsidRPr="003A2EB4">
        <w:t>Strong governance, leadership and ways of working</w:t>
      </w:r>
    </w:p>
    <w:p w14:paraId="73B32A0C" w14:textId="2DBDDEE8" w:rsidR="00A61967" w:rsidRPr="003A2EB4" w:rsidRDefault="0055686D" w:rsidP="00CC4777">
      <w:pPr>
        <w:tabs>
          <w:tab w:val="left" w:pos="4103"/>
        </w:tabs>
      </w:pPr>
      <w:r w:rsidRPr="003A2EB4">
        <w:rPr>
          <w:b/>
          <w:bCs/>
        </w:rPr>
        <w:t xml:space="preserve">Who </w:t>
      </w:r>
      <w:r w:rsidR="00D552F8" w:rsidRPr="003A2EB4">
        <w:rPr>
          <w:b/>
          <w:bCs/>
        </w:rPr>
        <w:t>this</w:t>
      </w:r>
      <w:r w:rsidRPr="003A2EB4">
        <w:rPr>
          <w:b/>
          <w:bCs/>
        </w:rPr>
        <w:t xml:space="preserve"> supports</w:t>
      </w:r>
      <w:r w:rsidR="00A61967" w:rsidRPr="003A2EB4">
        <w:rPr>
          <w:b/>
          <w:bCs/>
        </w:rPr>
        <w:t>:</w:t>
      </w:r>
      <w:r w:rsidR="00A61967" w:rsidRPr="003A2EB4">
        <w:t xml:space="preserve"> People at high risk of death, injury, and revictimisation, and high-risk perpetrators of violence</w:t>
      </w:r>
    </w:p>
    <w:p w14:paraId="2C140DF8" w14:textId="77777777" w:rsidR="002D1EE1" w:rsidRPr="003A2EB4" w:rsidRDefault="002D1EE1" w:rsidP="002D1EE1">
      <w:pPr>
        <w:pStyle w:val="Heading1"/>
      </w:pPr>
      <w:r w:rsidRPr="003A2EB4">
        <w:t>Keeping people safe</w:t>
      </w:r>
    </w:p>
    <w:p w14:paraId="1868B884" w14:textId="77777777" w:rsidR="002D1EE1" w:rsidRPr="003A2EB4" w:rsidRDefault="002D1EE1" w:rsidP="002D1EE1">
      <w:pPr>
        <w:pStyle w:val="Heading2"/>
      </w:pPr>
      <w:r w:rsidRPr="003A2EB4">
        <w:t>What we will do</w:t>
      </w:r>
    </w:p>
    <w:p w14:paraId="779F39C7" w14:textId="285967D2" w:rsidR="002D1EE1" w:rsidRPr="003A2EB4" w:rsidRDefault="004413B9" w:rsidP="008A5FA0">
      <w:pPr>
        <w:pStyle w:val="Heading3"/>
      </w:pPr>
      <w:r w:rsidRPr="003A2EB4">
        <w:t>An integrated approach to managing high risk of death and serious injury</w:t>
      </w:r>
    </w:p>
    <w:p w14:paraId="525BD9A4" w14:textId="77777777" w:rsidR="004413B9" w:rsidRPr="003A2EB4" w:rsidRDefault="004413B9" w:rsidP="00CC4777">
      <w:pPr>
        <w:tabs>
          <w:tab w:val="left" w:pos="4103"/>
        </w:tabs>
      </w:pPr>
      <w:r w:rsidRPr="003A2EB4">
        <w:t xml:space="preserve">Keeping people safe means we need to have in place strong and active risk management including of children and young people at severe risk of death, serious injury and revictimisation. </w:t>
      </w:r>
    </w:p>
    <w:p w14:paraId="678BE527" w14:textId="77777777" w:rsidR="004413B9" w:rsidRPr="003A2EB4" w:rsidRDefault="004413B9" w:rsidP="00CC4777">
      <w:pPr>
        <w:tabs>
          <w:tab w:val="left" w:pos="4103"/>
        </w:tabs>
      </w:pPr>
      <w:r w:rsidRPr="003A2EB4">
        <w:t xml:space="preserve">While agencies are already working with iwi and local community organisations to respond to family violence and manage risk, there are inconsistent multi-agency responses around the country. This means people are not always getting the right support when they reach out for help and are sometimes falling through the cracks. </w:t>
      </w:r>
    </w:p>
    <w:p w14:paraId="32162594" w14:textId="28B94B56" w:rsidR="004413B9" w:rsidRPr="003A2EB4" w:rsidRDefault="004413B9" w:rsidP="00CC4777">
      <w:pPr>
        <w:tabs>
          <w:tab w:val="left" w:pos="4103"/>
        </w:tabs>
      </w:pPr>
      <w:r w:rsidRPr="003A2EB4">
        <w:t>We need to ensure we have a strong and effective joined-up approach to managing risk, particularly for people at high risk. We will focus on working with localities to develop an integrated risk management approach.</w:t>
      </w:r>
    </w:p>
    <w:p w14:paraId="4C60AC00" w14:textId="77777777" w:rsidR="00055100" w:rsidRPr="003A2EB4" w:rsidRDefault="004413B9" w:rsidP="00CC4777">
      <w:pPr>
        <w:tabs>
          <w:tab w:val="left" w:pos="4103"/>
        </w:tabs>
      </w:pPr>
      <w:r w:rsidRPr="003A2EB4">
        <w:t xml:space="preserve">This will include: </w:t>
      </w:r>
    </w:p>
    <w:p w14:paraId="00F9B5E7" w14:textId="7732B24D" w:rsidR="00055100" w:rsidRPr="003A2EB4" w:rsidRDefault="004413B9" w:rsidP="00055100">
      <w:pPr>
        <w:pStyle w:val="ListParagraph"/>
        <w:numPr>
          <w:ilvl w:val="0"/>
          <w:numId w:val="23"/>
        </w:numPr>
      </w:pPr>
      <w:r w:rsidRPr="003A2EB4">
        <w:t xml:space="preserve">improving risk management processes, systems, and practices </w:t>
      </w:r>
    </w:p>
    <w:p w14:paraId="2C4FEF5D" w14:textId="687B020F" w:rsidR="00055100" w:rsidRPr="003A2EB4" w:rsidRDefault="004413B9" w:rsidP="00055100">
      <w:pPr>
        <w:pStyle w:val="ListParagraph"/>
        <w:numPr>
          <w:ilvl w:val="0"/>
          <w:numId w:val="23"/>
        </w:numPr>
      </w:pPr>
      <w:r w:rsidRPr="003A2EB4">
        <w:t xml:space="preserve">providing intensive proactive case management support through accelerated outreach to families </w:t>
      </w:r>
    </w:p>
    <w:p w14:paraId="0BED133F" w14:textId="08CADC58" w:rsidR="00055100" w:rsidRPr="003A2EB4" w:rsidRDefault="004413B9" w:rsidP="00055100">
      <w:pPr>
        <w:pStyle w:val="ListParagraph"/>
        <w:numPr>
          <w:ilvl w:val="0"/>
          <w:numId w:val="23"/>
        </w:numPr>
      </w:pPr>
      <w:r w:rsidRPr="003A2EB4">
        <w:lastRenderedPageBreak/>
        <w:t xml:space="preserve">data management and monitoring practices to improve identification of early risk responses. </w:t>
      </w:r>
    </w:p>
    <w:p w14:paraId="3E320622" w14:textId="119E95FF" w:rsidR="004413B9" w:rsidRPr="003A2EB4" w:rsidRDefault="004413B9" w:rsidP="00CC4777">
      <w:pPr>
        <w:tabs>
          <w:tab w:val="left" w:pos="4103"/>
        </w:tabs>
      </w:pPr>
      <w:r w:rsidRPr="003A2EB4">
        <w:t>Initially this will be accelerated in two localities - Rotorua and Auckland City. Lessons from these places will be used to inform the ongoing development and roll out of the model to other regions and localities.</w:t>
      </w:r>
    </w:p>
    <w:p w14:paraId="27F28429" w14:textId="2ACF388E" w:rsidR="00E32127" w:rsidRPr="003A2EB4" w:rsidRDefault="004413B9" w:rsidP="00CC4777">
      <w:pPr>
        <w:tabs>
          <w:tab w:val="left" w:pos="4103"/>
        </w:tabs>
      </w:pPr>
      <w:r w:rsidRPr="003A2EB4">
        <w:rPr>
          <w:b/>
          <w:bCs/>
        </w:rPr>
        <w:t>When:</w:t>
      </w:r>
      <w:r w:rsidRPr="003A2EB4">
        <w:t xml:space="preserve"> </w:t>
      </w:r>
      <w:r w:rsidR="00B968FF" w:rsidRPr="003A2EB4">
        <w:t>December</w:t>
      </w:r>
      <w:r w:rsidRPr="003A2EB4">
        <w:t xml:space="preserve"> 2025 </w:t>
      </w:r>
    </w:p>
    <w:p w14:paraId="24DDC7C9" w14:textId="77777777" w:rsidR="00E32127" w:rsidRPr="003A2EB4" w:rsidRDefault="004413B9" w:rsidP="00CC4777">
      <w:pPr>
        <w:tabs>
          <w:tab w:val="left" w:pos="4103"/>
        </w:tabs>
      </w:pPr>
      <w:r w:rsidRPr="003A2EB4">
        <w:rPr>
          <w:b/>
          <w:bCs/>
        </w:rPr>
        <w:t xml:space="preserve">Partners: </w:t>
      </w:r>
      <w:r w:rsidRPr="003A2EB4">
        <w:t xml:space="preserve">Oranga Tamariki, NZ Police, Department of Corrections, Ministry of Social Development, Ministry of Education, Health New Zealand - Te Whatu Ora, Regional Public Service Commission, Te Puna Aonui Business Unit </w:t>
      </w:r>
    </w:p>
    <w:p w14:paraId="7FFF8C79" w14:textId="3DF467E4" w:rsidR="004413B9" w:rsidRPr="003A2EB4" w:rsidRDefault="004413B9" w:rsidP="00CC4777">
      <w:pPr>
        <w:tabs>
          <w:tab w:val="left" w:pos="4103"/>
        </w:tabs>
      </w:pPr>
      <w:r w:rsidRPr="003A2EB4">
        <w:rPr>
          <w:b/>
          <w:bCs/>
        </w:rPr>
        <w:t>Milestones:</w:t>
      </w:r>
      <w:r w:rsidRPr="003A2EB4">
        <w:t xml:space="preserve"> </w:t>
      </w:r>
      <w:r w:rsidR="00B968FF" w:rsidRPr="003A2EB4">
        <w:t>December</w:t>
      </w:r>
      <w:r w:rsidRPr="003A2EB4">
        <w:t xml:space="preserve"> 2024 </w:t>
      </w:r>
      <w:r w:rsidR="00E32127" w:rsidRPr="003A2EB4">
        <w:t xml:space="preserve">– </w:t>
      </w:r>
      <w:r w:rsidRPr="003A2EB4">
        <w:t>Accelerated outreach in place in two localities (Rotorua and Auckland City)</w:t>
      </w:r>
      <w:r w:rsidR="00E32127" w:rsidRPr="003A2EB4">
        <w:t xml:space="preserve">; </w:t>
      </w:r>
      <w:r w:rsidR="00B968FF" w:rsidRPr="003A2EB4">
        <w:t>December</w:t>
      </w:r>
      <w:r w:rsidRPr="003A2EB4">
        <w:t xml:space="preserve"> 2025 </w:t>
      </w:r>
      <w:r w:rsidR="00E32127" w:rsidRPr="003A2EB4">
        <w:t xml:space="preserve">– </w:t>
      </w:r>
      <w:r w:rsidRPr="003A2EB4">
        <w:t>Nationally consistent approach to managing risk (process, system and practices, and data management)</w:t>
      </w:r>
    </w:p>
    <w:p w14:paraId="49E2F799" w14:textId="21C1BD83" w:rsidR="00510000" w:rsidRPr="003A2EB4" w:rsidRDefault="00510000" w:rsidP="00510000">
      <w:pPr>
        <w:tabs>
          <w:tab w:val="left" w:pos="4103"/>
        </w:tabs>
        <w:rPr>
          <w:b/>
          <w:bCs/>
        </w:rPr>
      </w:pPr>
      <w:r w:rsidRPr="003A2EB4">
        <w:rPr>
          <w:b/>
          <w:bCs/>
        </w:rPr>
        <w:t xml:space="preserve">Response component: </w:t>
      </w:r>
      <w:r w:rsidRPr="003A2EB4">
        <w:t>3. Consistent approach to understanding and managing risk</w:t>
      </w:r>
    </w:p>
    <w:p w14:paraId="23418040" w14:textId="77777777" w:rsidR="00510000" w:rsidRPr="003A2EB4" w:rsidRDefault="00510000" w:rsidP="00510000">
      <w:pPr>
        <w:tabs>
          <w:tab w:val="left" w:pos="4103"/>
        </w:tabs>
      </w:pPr>
      <w:r w:rsidRPr="003A2EB4">
        <w:rPr>
          <w:b/>
          <w:bCs/>
        </w:rPr>
        <w:t>Who this supports:</w:t>
      </w:r>
      <w:r w:rsidRPr="003A2EB4">
        <w:t xml:space="preserve"> People at high risk of death, injury, and revictimisation, and high-risk perpetrators of violence</w:t>
      </w:r>
    </w:p>
    <w:p w14:paraId="70BC6599" w14:textId="77777777" w:rsidR="00510000" w:rsidRPr="003A2EB4" w:rsidRDefault="00510000" w:rsidP="00510000">
      <w:pPr>
        <w:pStyle w:val="Heading1"/>
      </w:pPr>
      <w:r w:rsidRPr="003A2EB4">
        <w:t>Keeping people safe</w:t>
      </w:r>
    </w:p>
    <w:p w14:paraId="0692846A" w14:textId="77777777" w:rsidR="00510000" w:rsidRPr="003A2EB4" w:rsidRDefault="00510000" w:rsidP="00510000">
      <w:pPr>
        <w:pStyle w:val="Heading2"/>
      </w:pPr>
      <w:r w:rsidRPr="003A2EB4">
        <w:t>What we will do</w:t>
      </w:r>
    </w:p>
    <w:p w14:paraId="22D44B79" w14:textId="1086DEEA" w:rsidR="00E32127" w:rsidRPr="003A2EB4" w:rsidRDefault="00927FBB" w:rsidP="008A5FA0">
      <w:pPr>
        <w:pStyle w:val="Heading3"/>
      </w:pPr>
      <w:r w:rsidRPr="003A2EB4">
        <w:t>Consistent</w:t>
      </w:r>
      <w:r w:rsidR="00F004AF" w:rsidRPr="003A2EB4">
        <w:t xml:space="preserve"> </w:t>
      </w:r>
      <w:r w:rsidRPr="003A2EB4">
        <w:t>approach to</w:t>
      </w:r>
      <w:r w:rsidR="00F004AF" w:rsidRPr="003A2EB4">
        <w:t xml:space="preserve"> </w:t>
      </w:r>
      <w:r w:rsidRPr="003A2EB4">
        <w:t>understanding</w:t>
      </w:r>
      <w:r w:rsidR="00F004AF" w:rsidRPr="003A2EB4">
        <w:t xml:space="preserve"> </w:t>
      </w:r>
      <w:r w:rsidRPr="003A2EB4">
        <w:t>risk</w:t>
      </w:r>
    </w:p>
    <w:p w14:paraId="417B5BC9" w14:textId="77777777" w:rsidR="00927FBB" w:rsidRPr="003A2EB4" w:rsidRDefault="003F69F5" w:rsidP="00F004AF">
      <w:pPr>
        <w:tabs>
          <w:tab w:val="left" w:pos="4103"/>
        </w:tabs>
      </w:pPr>
      <w:r w:rsidRPr="003A2EB4">
        <w:t xml:space="preserve">To support an integrated approach to managing risk we need to ensure that we have a nationally consistent approach to risk management, so that organisations and workforce can identify the early signs of harm and risk. </w:t>
      </w:r>
    </w:p>
    <w:p w14:paraId="3E20F037" w14:textId="212271FB" w:rsidR="003F69F5" w:rsidRPr="003A2EB4" w:rsidRDefault="003F69F5" w:rsidP="00F004AF">
      <w:pPr>
        <w:tabs>
          <w:tab w:val="left" w:pos="4103"/>
        </w:tabs>
      </w:pPr>
      <w:r w:rsidRPr="003A2EB4">
        <w:t>The Family Violence Risk and Safety Practice Framework has been designed with the family violence sector, tangata whenua and communities to support organisational processes and build workforce understanding of risk. These guidelines will ensure that risk is recognised early, responded to safely and appropriately, and people, whānau and families get the right support early. These will be rolled out across the regions, beginning initially with the 12 localities identified in this plan.</w:t>
      </w:r>
    </w:p>
    <w:p w14:paraId="1DD0CE8D" w14:textId="3F5CA14E" w:rsidR="00927FBB" w:rsidRPr="003A2EB4" w:rsidRDefault="00927FBB" w:rsidP="00F004AF">
      <w:pPr>
        <w:tabs>
          <w:tab w:val="left" w:pos="4103"/>
        </w:tabs>
      </w:pPr>
      <w:r w:rsidRPr="003A2EB4">
        <w:rPr>
          <w:b/>
          <w:bCs/>
        </w:rPr>
        <w:t xml:space="preserve">When: </w:t>
      </w:r>
      <w:r w:rsidR="00B968FF" w:rsidRPr="003A2EB4">
        <w:t>June</w:t>
      </w:r>
      <w:r w:rsidRPr="003A2EB4">
        <w:t xml:space="preserve"> 2026 </w:t>
      </w:r>
    </w:p>
    <w:p w14:paraId="43E22DCC" w14:textId="77777777" w:rsidR="00927FBB" w:rsidRPr="003A2EB4" w:rsidRDefault="00927FBB" w:rsidP="00F004AF">
      <w:pPr>
        <w:tabs>
          <w:tab w:val="left" w:pos="4103"/>
        </w:tabs>
      </w:pPr>
      <w:r w:rsidRPr="003A2EB4">
        <w:rPr>
          <w:b/>
          <w:bCs/>
        </w:rPr>
        <w:t>Partners:</w:t>
      </w:r>
      <w:r w:rsidRPr="003A2EB4">
        <w:t xml:space="preserve"> Te Puna Aonui agencies </w:t>
      </w:r>
    </w:p>
    <w:p w14:paraId="73D030B0" w14:textId="27B128CC" w:rsidR="00927FBB" w:rsidRPr="003A2EB4" w:rsidRDefault="00927FBB" w:rsidP="00F004AF">
      <w:pPr>
        <w:tabs>
          <w:tab w:val="left" w:pos="4103"/>
        </w:tabs>
      </w:pPr>
      <w:r w:rsidRPr="003A2EB4">
        <w:rPr>
          <w:b/>
          <w:bCs/>
        </w:rPr>
        <w:t>Milestones:</w:t>
      </w:r>
      <w:r w:rsidRPr="003A2EB4">
        <w:t xml:space="preserve"> </w:t>
      </w:r>
      <w:r w:rsidR="00B968FF" w:rsidRPr="003A2EB4">
        <w:t>December</w:t>
      </w:r>
      <w:r w:rsidRPr="003A2EB4">
        <w:t xml:space="preserve"> 2024 – Finalise Family Violence Risk and Safety Practice Framework; </w:t>
      </w:r>
      <w:r w:rsidR="00B968FF" w:rsidRPr="003A2EB4">
        <w:t>December</w:t>
      </w:r>
      <w:r w:rsidRPr="003A2EB4">
        <w:t xml:space="preserve"> 2025 – Risk practice enhancements included in System Improvement Plans of first 12 localities</w:t>
      </w:r>
    </w:p>
    <w:p w14:paraId="08A3161B" w14:textId="77777777" w:rsidR="006332AF" w:rsidRPr="003A2EB4" w:rsidRDefault="006332AF" w:rsidP="006332AF">
      <w:pPr>
        <w:tabs>
          <w:tab w:val="left" w:pos="4103"/>
        </w:tabs>
        <w:rPr>
          <w:b/>
          <w:bCs/>
        </w:rPr>
      </w:pPr>
      <w:r w:rsidRPr="003A2EB4">
        <w:rPr>
          <w:b/>
          <w:bCs/>
        </w:rPr>
        <w:t xml:space="preserve">Response component: </w:t>
      </w:r>
      <w:r w:rsidRPr="003A2EB4">
        <w:t>3. Consistent approach to understanding and managing risk</w:t>
      </w:r>
    </w:p>
    <w:p w14:paraId="0756C37B" w14:textId="21CE1D7B" w:rsidR="006332AF" w:rsidRPr="003A2EB4" w:rsidRDefault="006332AF" w:rsidP="008A5FA0">
      <w:pPr>
        <w:pStyle w:val="Heading3"/>
      </w:pPr>
      <w:r w:rsidRPr="003A2EB4">
        <w:t>Improving information sharing systems</w:t>
      </w:r>
    </w:p>
    <w:p w14:paraId="71A2A7F5" w14:textId="77777777" w:rsidR="006332AF" w:rsidRPr="003A2EB4" w:rsidRDefault="006332AF" w:rsidP="00F004AF">
      <w:pPr>
        <w:tabs>
          <w:tab w:val="left" w:pos="4103"/>
        </w:tabs>
      </w:pPr>
      <w:r w:rsidRPr="003A2EB4">
        <w:t>Effective and safe information sharing is critical to ensuring the safety of children and those affected by violence (</w:t>
      </w:r>
      <w:r w:rsidRPr="003A2EB4">
        <w:rPr>
          <w:i/>
          <w:iCs/>
        </w:rPr>
        <w:t>‘everyone has a piece of the jigsaw, but no one has the full picture’</w:t>
      </w:r>
      <w:r w:rsidRPr="003A2EB4">
        <w:t xml:space="preserve">.) Systems must support more collaboration across services and enable joined up responses to family violence. A collaborative case management system will be developed to enhance the safe sharing of information, strengthen victim/survivor rights over their information and alert agencies to emerging risk. </w:t>
      </w:r>
    </w:p>
    <w:p w14:paraId="073339C1" w14:textId="389081EA" w:rsidR="00AF54EA" w:rsidRPr="003A2EB4" w:rsidRDefault="006332AF" w:rsidP="00F004AF">
      <w:pPr>
        <w:tabs>
          <w:tab w:val="left" w:pos="4103"/>
        </w:tabs>
      </w:pPr>
      <w:r w:rsidRPr="003A2EB4">
        <w:rPr>
          <w:b/>
          <w:bCs/>
        </w:rPr>
        <w:lastRenderedPageBreak/>
        <w:t>When:</w:t>
      </w:r>
      <w:r w:rsidRPr="003A2EB4">
        <w:t xml:space="preserve"> </w:t>
      </w:r>
      <w:r w:rsidR="00B968FF" w:rsidRPr="003A2EB4">
        <w:t>December</w:t>
      </w:r>
      <w:r w:rsidRPr="003A2EB4">
        <w:t xml:space="preserve"> 2028 </w:t>
      </w:r>
    </w:p>
    <w:p w14:paraId="289B9A56" w14:textId="77777777" w:rsidR="00AF54EA" w:rsidRPr="003A2EB4" w:rsidRDefault="006332AF" w:rsidP="00F004AF">
      <w:pPr>
        <w:tabs>
          <w:tab w:val="left" w:pos="4103"/>
        </w:tabs>
      </w:pPr>
      <w:r w:rsidRPr="003A2EB4">
        <w:rPr>
          <w:b/>
          <w:bCs/>
        </w:rPr>
        <w:t>Partners:</w:t>
      </w:r>
      <w:r w:rsidRPr="003A2EB4">
        <w:t xml:space="preserve"> Te Puna Aonui agencies </w:t>
      </w:r>
    </w:p>
    <w:p w14:paraId="3E13D3C5" w14:textId="7E3DFE9D" w:rsidR="006332AF" w:rsidRPr="003A2EB4" w:rsidRDefault="006332AF" w:rsidP="00F004AF">
      <w:pPr>
        <w:tabs>
          <w:tab w:val="left" w:pos="4103"/>
        </w:tabs>
      </w:pPr>
      <w:r w:rsidRPr="003A2EB4">
        <w:rPr>
          <w:b/>
          <w:bCs/>
        </w:rPr>
        <w:t>Milestones:</w:t>
      </w:r>
      <w:r w:rsidRPr="003A2EB4">
        <w:t xml:space="preserve"> </w:t>
      </w:r>
      <w:r w:rsidR="00B968FF" w:rsidRPr="003A2EB4">
        <w:t>September</w:t>
      </w:r>
      <w:r w:rsidRPr="003A2EB4">
        <w:t xml:space="preserve"> 2025 </w:t>
      </w:r>
      <w:r w:rsidR="00AF54EA" w:rsidRPr="003A2EB4">
        <w:t xml:space="preserve">– </w:t>
      </w:r>
      <w:r w:rsidRPr="003A2EB4">
        <w:t>C</w:t>
      </w:r>
      <w:r w:rsidR="00AF54EA" w:rsidRPr="003A2EB4">
        <w:t>o</w:t>
      </w:r>
      <w:r w:rsidRPr="003A2EB4">
        <w:t>re operating model for case management system complete</w:t>
      </w:r>
      <w:r w:rsidR="00AF54EA" w:rsidRPr="003A2EB4">
        <w:t>;</w:t>
      </w:r>
      <w:r w:rsidRPr="003A2EB4">
        <w:t xml:space="preserve"> </w:t>
      </w:r>
      <w:r w:rsidR="00B968FF" w:rsidRPr="003A2EB4">
        <w:t>December</w:t>
      </w:r>
      <w:r w:rsidRPr="003A2EB4">
        <w:t xml:space="preserve"> 2025 </w:t>
      </w:r>
      <w:r w:rsidR="00277954" w:rsidRPr="003A2EB4">
        <w:t>–</w:t>
      </w:r>
      <w:r w:rsidRPr="003A2EB4">
        <w:t>Information sharing protocols agreed and proof of concept commenced</w:t>
      </w:r>
      <w:r w:rsidR="00277954" w:rsidRPr="003A2EB4">
        <w:t>;</w:t>
      </w:r>
      <w:r w:rsidRPr="003A2EB4">
        <w:t xml:space="preserve"> </w:t>
      </w:r>
      <w:r w:rsidR="00B968FF" w:rsidRPr="003A2EB4">
        <w:t>June</w:t>
      </w:r>
      <w:r w:rsidRPr="003A2EB4">
        <w:t xml:space="preserve"> 2026</w:t>
      </w:r>
      <w:r w:rsidR="00277954" w:rsidRPr="003A2EB4">
        <w:t xml:space="preserve"> –</w:t>
      </w:r>
      <w:r w:rsidRPr="003A2EB4">
        <w:t xml:space="preserve"> Design complete and procurement of technological system commenced</w:t>
      </w:r>
      <w:r w:rsidR="00277954" w:rsidRPr="003A2EB4">
        <w:t>;</w:t>
      </w:r>
      <w:r w:rsidRPr="003A2EB4">
        <w:t xml:space="preserve"> </w:t>
      </w:r>
      <w:r w:rsidR="00B968FF" w:rsidRPr="003A2EB4">
        <w:t>June</w:t>
      </w:r>
      <w:r w:rsidRPr="003A2EB4">
        <w:t xml:space="preserve"> 2027</w:t>
      </w:r>
      <w:r w:rsidR="00277954" w:rsidRPr="003A2EB4">
        <w:t xml:space="preserve"> –</w:t>
      </w:r>
      <w:r w:rsidRPr="003A2EB4">
        <w:t xml:space="preserve"> Testing of technology system</w:t>
      </w:r>
      <w:r w:rsidR="00277954" w:rsidRPr="003A2EB4">
        <w:t>;</w:t>
      </w:r>
      <w:r w:rsidRPr="003A2EB4">
        <w:t xml:space="preserve"> </w:t>
      </w:r>
      <w:r w:rsidR="00B968FF" w:rsidRPr="003A2EB4">
        <w:t>December</w:t>
      </w:r>
      <w:r w:rsidRPr="003A2EB4">
        <w:t xml:space="preserve"> 2028 </w:t>
      </w:r>
      <w:r w:rsidR="00277954" w:rsidRPr="003A2EB4">
        <w:t>–</w:t>
      </w:r>
      <w:r w:rsidRPr="003A2EB4">
        <w:t>Transition Family Safety System to new technology system</w:t>
      </w:r>
      <w:r w:rsidR="00277954" w:rsidRPr="003A2EB4">
        <w:t>;</w:t>
      </w:r>
      <w:r w:rsidRPr="003A2EB4">
        <w:t xml:space="preserve"> </w:t>
      </w:r>
      <w:r w:rsidR="00B968FF" w:rsidRPr="003A2EB4">
        <w:t>December</w:t>
      </w:r>
      <w:r w:rsidRPr="003A2EB4">
        <w:t xml:space="preserve"> 2029 </w:t>
      </w:r>
      <w:r w:rsidR="00277954" w:rsidRPr="003A2EB4">
        <w:t xml:space="preserve">– </w:t>
      </w:r>
      <w:r w:rsidRPr="003A2EB4">
        <w:t>Evaluation of system undertaken to ensure safe and appropriate use of information</w:t>
      </w:r>
    </w:p>
    <w:p w14:paraId="5373A98D" w14:textId="5A015CCC" w:rsidR="00277954" w:rsidRPr="003A2EB4" w:rsidRDefault="00277954" w:rsidP="00277954">
      <w:pPr>
        <w:tabs>
          <w:tab w:val="left" w:pos="4103"/>
        </w:tabs>
      </w:pPr>
      <w:r w:rsidRPr="003A2EB4">
        <w:rPr>
          <w:b/>
          <w:bCs/>
        </w:rPr>
        <w:t xml:space="preserve">Response component: </w:t>
      </w:r>
      <w:r w:rsidRPr="003A2EB4">
        <w:t>4. Improving information sharing</w:t>
      </w:r>
    </w:p>
    <w:p w14:paraId="1E45088A" w14:textId="77777777" w:rsidR="00615E4C" w:rsidRPr="003A2EB4" w:rsidRDefault="00615E4C" w:rsidP="00615E4C">
      <w:pPr>
        <w:pStyle w:val="Heading1"/>
      </w:pPr>
      <w:r w:rsidRPr="003A2EB4">
        <w:t>Keeping people safe</w:t>
      </w:r>
    </w:p>
    <w:p w14:paraId="596553CC" w14:textId="77777777" w:rsidR="00615E4C" w:rsidRPr="003A2EB4" w:rsidRDefault="00615E4C" w:rsidP="00615E4C">
      <w:pPr>
        <w:pStyle w:val="Heading2"/>
      </w:pPr>
      <w:r w:rsidRPr="003A2EB4">
        <w:t>What we will do</w:t>
      </w:r>
    </w:p>
    <w:p w14:paraId="303C957F" w14:textId="62426587" w:rsidR="00277954" w:rsidRPr="003A2EB4" w:rsidRDefault="00615E4C" w:rsidP="008A5FA0">
      <w:pPr>
        <w:pStyle w:val="Heading3"/>
      </w:pPr>
      <w:r w:rsidRPr="003A2EB4">
        <w:t>Deliver joined-up approaches for children and young people</w:t>
      </w:r>
    </w:p>
    <w:p w14:paraId="611089B8" w14:textId="77777777" w:rsidR="00615E4C" w:rsidRPr="003A2EB4" w:rsidRDefault="00615E4C" w:rsidP="00F004AF">
      <w:pPr>
        <w:tabs>
          <w:tab w:val="left" w:pos="4103"/>
        </w:tabs>
      </w:pPr>
      <w:r w:rsidRPr="003A2EB4">
        <w:t xml:space="preserve">Many youth offenders (80%) have experienced or are affected by family violence. However, programmes designed to address the causes of youth offending are not currently joined-up with responses to addressing family violence. If we are to reduce youth offending, we need to adopt a whānau-centred response. This means improving coordination between multi-agency responses for family violence with responses for youth offenders. </w:t>
      </w:r>
    </w:p>
    <w:p w14:paraId="46FE1B19" w14:textId="77777777" w:rsidR="00615E4C" w:rsidRPr="003A2EB4" w:rsidRDefault="00615E4C" w:rsidP="00F004AF">
      <w:pPr>
        <w:tabs>
          <w:tab w:val="left" w:pos="4103"/>
        </w:tabs>
      </w:pPr>
      <w:r w:rsidRPr="003A2EB4">
        <w:t xml:space="preserve">Initially we will focus on three regions where Fast Track Youth Offending Support Teams are operating to align the work of these teams with local multi-agency responses for family violence, this will include governance and high-risk case management, and outcome measurement and data collection. </w:t>
      </w:r>
    </w:p>
    <w:p w14:paraId="1F5FE5D0" w14:textId="59199D0D" w:rsidR="00615E4C" w:rsidRPr="003A2EB4" w:rsidRDefault="00615E4C" w:rsidP="00F004AF">
      <w:pPr>
        <w:tabs>
          <w:tab w:val="left" w:pos="4103"/>
        </w:tabs>
      </w:pPr>
      <w:r w:rsidRPr="003A2EB4">
        <w:rPr>
          <w:b/>
          <w:bCs/>
        </w:rPr>
        <w:t>When:</w:t>
      </w:r>
      <w:r w:rsidRPr="003A2EB4">
        <w:t xml:space="preserve"> </w:t>
      </w:r>
      <w:r w:rsidR="00B968FF" w:rsidRPr="003A2EB4">
        <w:t>December</w:t>
      </w:r>
      <w:r w:rsidRPr="003A2EB4">
        <w:t xml:space="preserve"> 2027 </w:t>
      </w:r>
    </w:p>
    <w:p w14:paraId="63AB84DF" w14:textId="77777777" w:rsidR="00615E4C" w:rsidRPr="003A2EB4" w:rsidRDefault="00615E4C" w:rsidP="00F004AF">
      <w:pPr>
        <w:tabs>
          <w:tab w:val="left" w:pos="4103"/>
        </w:tabs>
      </w:pPr>
      <w:r w:rsidRPr="003A2EB4">
        <w:rPr>
          <w:b/>
          <w:bCs/>
        </w:rPr>
        <w:t xml:space="preserve">Partners: </w:t>
      </w:r>
      <w:r w:rsidRPr="003A2EB4">
        <w:t xml:space="preserve">Oranga Tamariki, Ministry of Social Development, NZ Police, Department of Corrections, Ministry of Education, Health New Zealand - Te Whatu Ora, Te Puna Aonui Business Unit </w:t>
      </w:r>
    </w:p>
    <w:p w14:paraId="3D0F8ACF" w14:textId="23374255" w:rsidR="00615E4C" w:rsidRPr="003A2EB4" w:rsidRDefault="00615E4C" w:rsidP="00F004AF">
      <w:pPr>
        <w:tabs>
          <w:tab w:val="left" w:pos="4103"/>
        </w:tabs>
      </w:pPr>
      <w:r w:rsidRPr="003A2EB4">
        <w:rPr>
          <w:b/>
          <w:bCs/>
        </w:rPr>
        <w:t>Milestones:</w:t>
      </w:r>
      <w:r w:rsidRPr="003A2EB4">
        <w:t xml:space="preserve"> </w:t>
      </w:r>
      <w:r w:rsidR="00B968FF" w:rsidRPr="003A2EB4">
        <w:t>July</w:t>
      </w:r>
      <w:r w:rsidRPr="003A2EB4">
        <w:t xml:space="preserve"> 2025 – Scoping opportunities for alignment and decision making between family violence and Fast Track responses in three regions (Waitākere (West Auckland), Rotorua, Canterbury); </w:t>
      </w:r>
      <w:r w:rsidR="00B968FF" w:rsidRPr="003A2EB4">
        <w:t>July</w:t>
      </w:r>
      <w:r w:rsidRPr="003A2EB4">
        <w:t xml:space="preserve"> 2026 –Implementation of the aligned family violence and Fast Track responses in three regions; </w:t>
      </w:r>
      <w:r w:rsidR="00B968FF" w:rsidRPr="003A2EB4">
        <w:t>December</w:t>
      </w:r>
      <w:r w:rsidRPr="003A2EB4">
        <w:t xml:space="preserve"> 2026 – Identify next regions for family violence and Fast Track alignment</w:t>
      </w:r>
    </w:p>
    <w:p w14:paraId="334F019A" w14:textId="2FE47DEE" w:rsidR="00F40416" w:rsidRPr="003A2EB4" w:rsidRDefault="00F40416" w:rsidP="00F40416">
      <w:pPr>
        <w:tabs>
          <w:tab w:val="left" w:pos="4103"/>
        </w:tabs>
        <w:rPr>
          <w:b/>
          <w:bCs/>
        </w:rPr>
      </w:pPr>
      <w:r w:rsidRPr="003A2EB4">
        <w:rPr>
          <w:b/>
          <w:bCs/>
        </w:rPr>
        <w:t xml:space="preserve">Response component: </w:t>
      </w:r>
      <w:r w:rsidRPr="003A2EB4">
        <w:t>2. Delivering joined-up approaches for planning, resources and services</w:t>
      </w:r>
    </w:p>
    <w:p w14:paraId="78FD4F5A" w14:textId="70CEA508" w:rsidR="00F40416" w:rsidRPr="003A2EB4" w:rsidRDefault="00F40416" w:rsidP="00F40416">
      <w:pPr>
        <w:tabs>
          <w:tab w:val="left" w:pos="4103"/>
        </w:tabs>
      </w:pPr>
      <w:r w:rsidRPr="003A2EB4">
        <w:rPr>
          <w:b/>
          <w:bCs/>
        </w:rPr>
        <w:t>Who this supports:</w:t>
      </w:r>
      <w:r w:rsidRPr="003A2EB4">
        <w:t xml:space="preserve"> </w:t>
      </w:r>
      <w:r w:rsidR="00106EE6" w:rsidRPr="003A2EB4">
        <w:t>People experiencing or using violence with complex needs, with a focus on children and young people</w:t>
      </w:r>
    </w:p>
    <w:p w14:paraId="75B191F6" w14:textId="25D2012B" w:rsidR="00496D7F" w:rsidRPr="003A2EB4" w:rsidRDefault="002F4D13" w:rsidP="002F4D13">
      <w:pPr>
        <w:pStyle w:val="Heading1"/>
      </w:pPr>
      <w:r w:rsidRPr="003A2EB4">
        <w:t>Keeping people safe</w:t>
      </w:r>
    </w:p>
    <w:p w14:paraId="19ABC3A1" w14:textId="49418FC8" w:rsidR="002C60C7" w:rsidRPr="003A2EB4" w:rsidRDefault="002F4D13" w:rsidP="002F4D13">
      <w:pPr>
        <w:pStyle w:val="Heading2"/>
      </w:pPr>
      <w:r w:rsidRPr="003A2EB4">
        <w:lastRenderedPageBreak/>
        <w:t>Where we will focus</w:t>
      </w:r>
    </w:p>
    <w:p w14:paraId="7ED340B5" w14:textId="77777777" w:rsidR="002C60C7" w:rsidRPr="003A2EB4" w:rsidRDefault="002C60C7" w:rsidP="00F40416">
      <w:pPr>
        <w:tabs>
          <w:tab w:val="left" w:pos="4103"/>
        </w:tabs>
      </w:pPr>
      <w:r w:rsidRPr="003A2EB4">
        <w:t xml:space="preserve">In the first two years we will work with 12 localities in six regions to implement strong governance, leadership and ways of working, develop an integrated approach to high need risk management, and deliver joined-up approaches for children and young people. </w:t>
      </w:r>
    </w:p>
    <w:p w14:paraId="4B935507" w14:textId="77777777" w:rsidR="002C60C7" w:rsidRPr="003A2EB4" w:rsidRDefault="002C60C7" w:rsidP="00F40416">
      <w:pPr>
        <w:tabs>
          <w:tab w:val="left" w:pos="4103"/>
        </w:tabs>
      </w:pPr>
      <w:r w:rsidRPr="003A2EB4">
        <w:t xml:space="preserve">These localities have been identified through a combination of factors (see key below). </w:t>
      </w:r>
    </w:p>
    <w:p w14:paraId="4A98C3A6" w14:textId="694307E9" w:rsidR="002C60C7" w:rsidRPr="003A2EB4" w:rsidRDefault="002C60C7" w:rsidP="00F40416">
      <w:pPr>
        <w:tabs>
          <w:tab w:val="left" w:pos="4103"/>
        </w:tabs>
      </w:pPr>
      <w:r w:rsidRPr="003A2EB4">
        <w:t>Lessons and insights from these localities will be shared with other regions to build models of best practice nationally.</w:t>
      </w:r>
    </w:p>
    <w:p w14:paraId="154CFA0F" w14:textId="6E7D0106" w:rsidR="00F40416" w:rsidRPr="003A2EB4" w:rsidRDefault="008F2209" w:rsidP="008A5FA0">
      <w:pPr>
        <w:pStyle w:val="Heading3"/>
      </w:pPr>
      <w:r w:rsidRPr="003A2EB4">
        <w:t>Key</w:t>
      </w:r>
      <w:r w:rsidR="00FF06A3" w:rsidRPr="003A2EB4">
        <w:t xml:space="preserve"> for</w:t>
      </w:r>
      <w:r w:rsidRPr="003A2EB4">
        <w:t xml:space="preserve"> t</w:t>
      </w:r>
      <w:r w:rsidR="00285ACA" w:rsidRPr="003A2EB4">
        <w:t>hresholds used to determine regions</w:t>
      </w:r>
    </w:p>
    <w:p w14:paraId="5CBF881E" w14:textId="159E9847" w:rsidR="00232193" w:rsidRPr="003A2EB4" w:rsidRDefault="001162EA" w:rsidP="00232193">
      <w:pPr>
        <w:tabs>
          <w:tab w:val="left" w:pos="4103"/>
        </w:tabs>
      </w:pPr>
      <w:r w:rsidRPr="003A2EB4">
        <w:rPr>
          <w:b/>
          <w:bCs/>
        </w:rPr>
        <w:t>Family violence (FV) investigations as a ratio of population in 2023</w:t>
      </w:r>
      <w:r w:rsidR="00C50224" w:rsidRPr="003A2EB4">
        <w:rPr>
          <w:b/>
          <w:bCs/>
        </w:rPr>
        <w:t xml:space="preserve">: </w:t>
      </w:r>
      <w:r w:rsidR="00232193" w:rsidRPr="003A2EB4">
        <w:t>Low &lt;23 per 1000 | Medium 23-36 per 1000 | High 36-61 per 1000</w:t>
      </w:r>
    </w:p>
    <w:p w14:paraId="3E4A59E2" w14:textId="6587760F" w:rsidR="001162EA" w:rsidRPr="003A2EB4" w:rsidRDefault="00232193" w:rsidP="00F004AF">
      <w:pPr>
        <w:tabs>
          <w:tab w:val="left" w:pos="4103"/>
        </w:tabs>
      </w:pPr>
      <w:r w:rsidRPr="003A2EB4">
        <w:rPr>
          <w:b/>
          <w:bCs/>
        </w:rPr>
        <w:t>Family violence (FV) investigation volume (no. of investigations with an offence in 2023)</w:t>
      </w:r>
      <w:r w:rsidR="00C50224" w:rsidRPr="003A2EB4">
        <w:rPr>
          <w:b/>
          <w:bCs/>
        </w:rPr>
        <w:t>:</w:t>
      </w:r>
      <w:r w:rsidR="00C50224" w:rsidRPr="003A2EB4">
        <w:t xml:space="preserve"> </w:t>
      </w:r>
      <w:r w:rsidR="001162EA" w:rsidRPr="003A2EB4">
        <w:t xml:space="preserve">Low &lt;2500 | 2500-5000 | &gt;5000 </w:t>
      </w:r>
    </w:p>
    <w:p w14:paraId="22DDCE38" w14:textId="431E0ECD" w:rsidR="002C60C7" w:rsidRPr="003A2EB4" w:rsidRDefault="001162EA" w:rsidP="00F004AF">
      <w:pPr>
        <w:tabs>
          <w:tab w:val="left" w:pos="4103"/>
        </w:tabs>
      </w:pPr>
      <w:r w:rsidRPr="003A2EB4">
        <w:rPr>
          <w:b/>
          <w:bCs/>
        </w:rPr>
        <w:t>Context and readiness based on number of aligning government programmes, funded roles, and iwi leadership in multi-agency response</w:t>
      </w:r>
      <w:r w:rsidR="00C50224" w:rsidRPr="003A2EB4">
        <w:rPr>
          <w:b/>
          <w:bCs/>
        </w:rPr>
        <w:t>:</w:t>
      </w:r>
      <w:r w:rsidR="00C50224" w:rsidRPr="003A2EB4">
        <w:t xml:space="preserve"> </w:t>
      </w:r>
      <w:r w:rsidRPr="003A2EB4">
        <w:t>High | Medium | Low</w:t>
      </w:r>
    </w:p>
    <w:p w14:paraId="3F8E9B7F" w14:textId="300E8590" w:rsidR="007A099E" w:rsidRPr="003A2EB4" w:rsidRDefault="00FB58F9" w:rsidP="008A5FA0">
      <w:pPr>
        <w:pStyle w:val="Heading3"/>
      </w:pPr>
      <w:r w:rsidRPr="003A2EB4">
        <w:t>Improving ways of working in regions / localities</w:t>
      </w:r>
    </w:p>
    <w:p w14:paraId="5A3C1954" w14:textId="60034A3D" w:rsidR="007A099E" w:rsidRPr="003A2EB4" w:rsidRDefault="007A099E" w:rsidP="007A099E">
      <w:pPr>
        <w:pStyle w:val="ListParagraph"/>
        <w:numPr>
          <w:ilvl w:val="0"/>
          <w:numId w:val="24"/>
        </w:numPr>
      </w:pPr>
      <w:r w:rsidRPr="003A2EB4">
        <w:rPr>
          <w:b/>
          <w:bCs/>
        </w:rPr>
        <w:t xml:space="preserve">Te Tai Tokerau – Whangārei/Kaikohe, Kaitaia </w:t>
      </w:r>
      <w:r w:rsidRPr="003A2EB4">
        <w:rPr>
          <w:b/>
          <w:bCs/>
        </w:rPr>
        <w:br/>
      </w:r>
      <w:r w:rsidRPr="003A2EB4">
        <w:t>FV investigations</w:t>
      </w:r>
      <w:r w:rsidR="006902F9" w:rsidRPr="003A2EB4">
        <w:t>:</w:t>
      </w:r>
      <w:r w:rsidRPr="003A2EB4">
        <w:t xml:space="preserve"> high</w:t>
      </w:r>
      <w:r w:rsidR="006902F9" w:rsidRPr="003A2EB4">
        <w:t xml:space="preserve"> </w:t>
      </w:r>
      <w:r w:rsidRPr="003A2EB4">
        <w:t xml:space="preserve"> </w:t>
      </w:r>
      <w:r w:rsidRPr="003A2EB4">
        <w:br/>
        <w:t>FV volume</w:t>
      </w:r>
      <w:r w:rsidR="006902F9" w:rsidRPr="003A2EB4">
        <w:t>:</w:t>
      </w:r>
      <w:r w:rsidRPr="003A2EB4">
        <w:t xml:space="preserve"> medium </w:t>
      </w:r>
      <w:r w:rsidRPr="003A2EB4">
        <w:br/>
        <w:t>Context and readiness</w:t>
      </w:r>
      <w:r w:rsidR="006902F9" w:rsidRPr="003A2EB4">
        <w:t>:</w:t>
      </w:r>
      <w:r w:rsidRPr="003A2EB4">
        <w:t xml:space="preserve"> high </w:t>
      </w:r>
    </w:p>
    <w:p w14:paraId="5B96EC61" w14:textId="77777777" w:rsidR="006902F9" w:rsidRPr="003A2EB4" w:rsidRDefault="007A099E" w:rsidP="00135295">
      <w:pPr>
        <w:pStyle w:val="ListParagraph"/>
        <w:tabs>
          <w:tab w:val="left" w:pos="4103"/>
        </w:tabs>
      </w:pPr>
      <w:r w:rsidRPr="003A2EB4">
        <w:rPr>
          <w:b/>
          <w:bCs/>
        </w:rPr>
        <w:t xml:space="preserve">Tāmaki Makaurau – Auckland City, Waitākere </w:t>
      </w:r>
      <w:r w:rsidRPr="003A2EB4">
        <w:br/>
        <w:t>FV investigations</w:t>
      </w:r>
      <w:r w:rsidR="006902F9" w:rsidRPr="003A2EB4">
        <w:t xml:space="preserve">: </w:t>
      </w:r>
      <w:r w:rsidRPr="003A2EB4">
        <w:t xml:space="preserve">medium </w:t>
      </w:r>
      <w:r w:rsidRPr="003A2EB4">
        <w:br/>
        <w:t>FV volume</w:t>
      </w:r>
      <w:r w:rsidR="006902F9" w:rsidRPr="003A2EB4">
        <w:t>:</w:t>
      </w:r>
      <w:r w:rsidRPr="003A2EB4">
        <w:t xml:space="preserve"> high </w:t>
      </w:r>
      <w:r w:rsidRPr="003A2EB4">
        <w:br/>
        <w:t>Context and readiness</w:t>
      </w:r>
      <w:r w:rsidR="006902F9" w:rsidRPr="003A2EB4">
        <w:t>:</w:t>
      </w:r>
      <w:r w:rsidRPr="003A2EB4">
        <w:t xml:space="preserve"> high</w:t>
      </w:r>
    </w:p>
    <w:p w14:paraId="47A8B142" w14:textId="77777777" w:rsidR="006902F9" w:rsidRPr="003A2EB4" w:rsidRDefault="007A099E" w:rsidP="00135295">
      <w:pPr>
        <w:pStyle w:val="ListParagraph"/>
        <w:tabs>
          <w:tab w:val="left" w:pos="4103"/>
        </w:tabs>
      </w:pPr>
      <w:r w:rsidRPr="003A2EB4">
        <w:rPr>
          <w:b/>
          <w:bCs/>
        </w:rPr>
        <w:t>Bay of Plenty – Rotorua, Eastern Bay of Plenty</w:t>
      </w:r>
      <w:r w:rsidRPr="003A2EB4">
        <w:t xml:space="preserve"> </w:t>
      </w:r>
      <w:r w:rsidR="006902F9" w:rsidRPr="003A2EB4">
        <w:br/>
      </w:r>
      <w:r w:rsidRPr="003A2EB4">
        <w:t>FV investigations</w:t>
      </w:r>
      <w:r w:rsidR="006902F9" w:rsidRPr="003A2EB4">
        <w:t>:</w:t>
      </w:r>
      <w:r w:rsidRPr="003A2EB4">
        <w:t xml:space="preserve"> high </w:t>
      </w:r>
      <w:r w:rsidR="006902F9" w:rsidRPr="003A2EB4">
        <w:br/>
      </w:r>
      <w:r w:rsidRPr="003A2EB4">
        <w:t>FV volume</w:t>
      </w:r>
      <w:r w:rsidR="006902F9" w:rsidRPr="003A2EB4">
        <w:t>:</w:t>
      </w:r>
      <w:r w:rsidRPr="003A2EB4">
        <w:t xml:space="preserve"> high </w:t>
      </w:r>
      <w:r w:rsidR="006902F9" w:rsidRPr="003A2EB4">
        <w:br/>
      </w:r>
      <w:r w:rsidRPr="003A2EB4">
        <w:t>Context and readiness</w:t>
      </w:r>
      <w:r w:rsidR="006902F9" w:rsidRPr="003A2EB4">
        <w:t>:</w:t>
      </w:r>
      <w:r w:rsidRPr="003A2EB4">
        <w:t xml:space="preserve"> high </w:t>
      </w:r>
    </w:p>
    <w:p w14:paraId="459C80B5" w14:textId="77777777" w:rsidR="006902F9" w:rsidRPr="003A2EB4" w:rsidRDefault="007A099E" w:rsidP="00135295">
      <w:pPr>
        <w:pStyle w:val="ListParagraph"/>
        <w:tabs>
          <w:tab w:val="left" w:pos="4103"/>
        </w:tabs>
      </w:pPr>
      <w:r w:rsidRPr="003A2EB4">
        <w:rPr>
          <w:b/>
          <w:bCs/>
        </w:rPr>
        <w:t xml:space="preserve">Hawkes Bay/Tairāwhiti – Gisborne, Wairoa, Hawkes Bay </w:t>
      </w:r>
      <w:r w:rsidR="006902F9" w:rsidRPr="003A2EB4">
        <w:rPr>
          <w:b/>
          <w:bCs/>
        </w:rPr>
        <w:br/>
      </w:r>
      <w:r w:rsidRPr="003A2EB4">
        <w:t>FV investigations</w:t>
      </w:r>
      <w:r w:rsidR="006902F9" w:rsidRPr="003A2EB4">
        <w:t xml:space="preserve">: </w:t>
      </w:r>
      <w:r w:rsidRPr="003A2EB4">
        <w:t xml:space="preserve">high </w:t>
      </w:r>
      <w:r w:rsidR="006902F9" w:rsidRPr="003A2EB4">
        <w:br/>
      </w:r>
      <w:r w:rsidRPr="003A2EB4">
        <w:t>FV volume</w:t>
      </w:r>
      <w:r w:rsidR="006902F9" w:rsidRPr="003A2EB4">
        <w:t xml:space="preserve">: </w:t>
      </w:r>
      <w:r w:rsidRPr="003A2EB4">
        <w:t>high</w:t>
      </w:r>
      <w:r w:rsidR="006902F9" w:rsidRPr="003A2EB4">
        <w:br/>
      </w:r>
      <w:r w:rsidRPr="003A2EB4">
        <w:t>Context and readiness</w:t>
      </w:r>
      <w:r w:rsidR="006902F9" w:rsidRPr="003A2EB4">
        <w:t>:</w:t>
      </w:r>
      <w:r w:rsidRPr="003A2EB4">
        <w:t xml:space="preserve"> high </w:t>
      </w:r>
    </w:p>
    <w:p w14:paraId="3B57C7B2" w14:textId="37127DCC" w:rsidR="006902F9" w:rsidRPr="003A2EB4" w:rsidRDefault="007A099E" w:rsidP="00135295">
      <w:pPr>
        <w:pStyle w:val="ListParagraph"/>
        <w:tabs>
          <w:tab w:val="left" w:pos="4103"/>
        </w:tabs>
      </w:pPr>
      <w:r w:rsidRPr="003A2EB4">
        <w:rPr>
          <w:b/>
          <w:bCs/>
        </w:rPr>
        <w:t>Central – Taranaki, Whanganui</w:t>
      </w:r>
      <w:r w:rsidRPr="003A2EB4">
        <w:t xml:space="preserve"> </w:t>
      </w:r>
      <w:r w:rsidR="006902F9" w:rsidRPr="003A2EB4">
        <w:br/>
      </w:r>
      <w:r w:rsidRPr="003A2EB4">
        <w:t>FV investigations</w:t>
      </w:r>
      <w:r w:rsidR="006902F9" w:rsidRPr="003A2EB4">
        <w:t>:</w:t>
      </w:r>
      <w:r w:rsidRPr="003A2EB4">
        <w:t xml:space="preserve"> high </w:t>
      </w:r>
      <w:r w:rsidR="006902F9" w:rsidRPr="003A2EB4">
        <w:br/>
      </w:r>
      <w:r w:rsidRPr="003A2EB4">
        <w:t>FV volume</w:t>
      </w:r>
      <w:r w:rsidR="006902F9" w:rsidRPr="003A2EB4">
        <w:t>:</w:t>
      </w:r>
      <w:r w:rsidRPr="003A2EB4">
        <w:t xml:space="preserve"> high </w:t>
      </w:r>
      <w:r w:rsidR="006902F9" w:rsidRPr="003A2EB4">
        <w:br/>
      </w:r>
      <w:r w:rsidRPr="003A2EB4">
        <w:t>Context and readiness</w:t>
      </w:r>
      <w:r w:rsidR="006902F9" w:rsidRPr="003A2EB4">
        <w:t>:</w:t>
      </w:r>
      <w:r w:rsidRPr="003A2EB4">
        <w:t xml:space="preserve"> medium </w:t>
      </w:r>
    </w:p>
    <w:p w14:paraId="4AB3244A" w14:textId="0CBCC243" w:rsidR="007A099E" w:rsidRPr="003A2EB4" w:rsidRDefault="007A099E" w:rsidP="00135295">
      <w:pPr>
        <w:pStyle w:val="ListParagraph"/>
        <w:tabs>
          <w:tab w:val="left" w:pos="4103"/>
        </w:tabs>
      </w:pPr>
      <w:r w:rsidRPr="003A2EB4">
        <w:rPr>
          <w:b/>
          <w:bCs/>
        </w:rPr>
        <w:t>Canterbury – Christchurch</w:t>
      </w:r>
      <w:r w:rsidRPr="003A2EB4">
        <w:t xml:space="preserve"> </w:t>
      </w:r>
      <w:r w:rsidR="006902F9" w:rsidRPr="003A2EB4">
        <w:br/>
      </w:r>
      <w:r w:rsidRPr="003A2EB4">
        <w:t>FV investigations</w:t>
      </w:r>
      <w:r w:rsidR="006902F9" w:rsidRPr="003A2EB4">
        <w:t>:</w:t>
      </w:r>
      <w:r w:rsidRPr="003A2EB4">
        <w:t xml:space="preserve"> medium </w:t>
      </w:r>
      <w:r w:rsidR="006902F9" w:rsidRPr="003A2EB4">
        <w:br/>
      </w:r>
      <w:r w:rsidRPr="003A2EB4">
        <w:t>FV volume</w:t>
      </w:r>
      <w:r w:rsidR="006902F9" w:rsidRPr="003A2EB4">
        <w:t>:</w:t>
      </w:r>
      <w:r w:rsidRPr="003A2EB4">
        <w:t xml:space="preserve"> high </w:t>
      </w:r>
      <w:r w:rsidR="006902F9" w:rsidRPr="003A2EB4">
        <w:br/>
      </w:r>
      <w:r w:rsidRPr="003A2EB4">
        <w:t>Context and readiness</w:t>
      </w:r>
      <w:r w:rsidR="006902F9" w:rsidRPr="003A2EB4">
        <w:t>:</w:t>
      </w:r>
      <w:r w:rsidRPr="003A2EB4">
        <w:t xml:space="preserve"> high</w:t>
      </w:r>
    </w:p>
    <w:p w14:paraId="221C6C50" w14:textId="42C92462" w:rsidR="00F23B61" w:rsidRPr="003A2EB4" w:rsidRDefault="00F23B61" w:rsidP="008A5FA0">
      <w:pPr>
        <w:pStyle w:val="Heading3"/>
      </w:pPr>
      <w:r w:rsidRPr="003A2EB4">
        <w:t>Joined-up approaches for children and young people in regions / localities</w:t>
      </w:r>
    </w:p>
    <w:p w14:paraId="0B9DB294" w14:textId="30BFBA44" w:rsidR="00F23B61" w:rsidRPr="003A2EB4" w:rsidRDefault="00F23B61" w:rsidP="00F23B61">
      <w:pPr>
        <w:pStyle w:val="ListParagraph"/>
        <w:numPr>
          <w:ilvl w:val="0"/>
          <w:numId w:val="26"/>
        </w:numPr>
        <w:tabs>
          <w:tab w:val="left" w:pos="4103"/>
        </w:tabs>
        <w:rPr>
          <w:b/>
          <w:bCs/>
        </w:rPr>
      </w:pPr>
      <w:r w:rsidRPr="003A2EB4">
        <w:rPr>
          <w:b/>
          <w:bCs/>
        </w:rPr>
        <w:t xml:space="preserve">Tāmaki Makaurau – West Auckland Waitākere </w:t>
      </w:r>
    </w:p>
    <w:p w14:paraId="7BF86B7D" w14:textId="7E53BEB3" w:rsidR="00F23B61" w:rsidRPr="003A2EB4" w:rsidRDefault="00F23B61" w:rsidP="00F23B61">
      <w:pPr>
        <w:pStyle w:val="ListParagraph"/>
        <w:tabs>
          <w:tab w:val="left" w:pos="4103"/>
        </w:tabs>
        <w:rPr>
          <w:b/>
          <w:bCs/>
        </w:rPr>
      </w:pPr>
      <w:r w:rsidRPr="003A2EB4">
        <w:rPr>
          <w:b/>
          <w:bCs/>
        </w:rPr>
        <w:t xml:space="preserve">Bay of Plenty – Rotorua </w:t>
      </w:r>
    </w:p>
    <w:p w14:paraId="63B9B189" w14:textId="2C8878AD" w:rsidR="00F23B61" w:rsidRPr="003A2EB4" w:rsidRDefault="00F23B61" w:rsidP="00F23B61">
      <w:pPr>
        <w:pStyle w:val="ListParagraph"/>
        <w:numPr>
          <w:ilvl w:val="0"/>
          <w:numId w:val="27"/>
        </w:numPr>
        <w:tabs>
          <w:tab w:val="left" w:pos="4103"/>
        </w:tabs>
        <w:rPr>
          <w:b/>
          <w:bCs/>
        </w:rPr>
      </w:pPr>
      <w:r w:rsidRPr="003A2EB4">
        <w:rPr>
          <w:b/>
          <w:bCs/>
        </w:rPr>
        <w:t>Canterbury – Christchurch</w:t>
      </w:r>
    </w:p>
    <w:p w14:paraId="03D87DB4" w14:textId="69AB1116" w:rsidR="0062407D" w:rsidRPr="003A2EB4" w:rsidRDefault="0062407D" w:rsidP="0062407D">
      <w:pPr>
        <w:pStyle w:val="Heading1"/>
      </w:pPr>
      <w:r w:rsidRPr="003A2EB4">
        <w:lastRenderedPageBreak/>
        <w:t>Stopping violence</w:t>
      </w:r>
    </w:p>
    <w:p w14:paraId="40FE38BA" w14:textId="77777777" w:rsidR="00C21D39" w:rsidRPr="003A2EB4" w:rsidRDefault="00C21D39" w:rsidP="00C21D39">
      <w:r w:rsidRPr="003A2EB4">
        <w:t xml:space="preserve">Keeping people safe and enabling victims/ survivors to live free from violence means increasing protections for victims and families and stopping people from using violence. </w:t>
      </w:r>
    </w:p>
    <w:p w14:paraId="00DFF6E2" w14:textId="77777777" w:rsidR="00C21D39" w:rsidRPr="003A2EB4" w:rsidRDefault="00C21D39" w:rsidP="00C21D39">
      <w:r w:rsidRPr="003A2EB4">
        <w:t xml:space="preserve">If we are to achieve our target of reducing violent crime, which includes family violence and sexual assault, we must firmly focus on stopping people who use violence. </w:t>
      </w:r>
    </w:p>
    <w:p w14:paraId="1F8031C6" w14:textId="73D30126" w:rsidR="00C21D39" w:rsidRPr="003A2EB4" w:rsidRDefault="00C21D39" w:rsidP="00C21D39">
      <w:r w:rsidRPr="003A2EB4">
        <w:t>This means holding people to account for their actions by strengthening legal powers, as well as providing the right support and intervening early to help people change their behaviour.</w:t>
      </w:r>
    </w:p>
    <w:p w14:paraId="78C47E85" w14:textId="3C29C32D" w:rsidR="00C21D39" w:rsidRPr="003A2EB4" w:rsidRDefault="00C21D39" w:rsidP="00C21D39">
      <w:pPr>
        <w:pStyle w:val="Heading2"/>
      </w:pPr>
      <w:r w:rsidRPr="003A2EB4">
        <w:t>What we will do</w:t>
      </w:r>
    </w:p>
    <w:p w14:paraId="5E01F323" w14:textId="433E3EE1" w:rsidR="00C21D39" w:rsidRPr="003A2EB4" w:rsidRDefault="00C21D39" w:rsidP="008A5FA0">
      <w:pPr>
        <w:pStyle w:val="Heading3"/>
      </w:pPr>
      <w:r w:rsidRPr="003A2EB4">
        <w:t>Strengthen accountability</w:t>
      </w:r>
    </w:p>
    <w:p w14:paraId="653B65D1" w14:textId="77777777" w:rsidR="00C21D39" w:rsidRPr="008A5FA0" w:rsidRDefault="00C21D39" w:rsidP="008A5FA0">
      <w:pPr>
        <w:pStyle w:val="Heading4"/>
      </w:pPr>
      <w:r w:rsidRPr="008A5FA0">
        <w:t xml:space="preserve">Introduce stalking as a new offence </w:t>
      </w:r>
    </w:p>
    <w:p w14:paraId="2A57CC05" w14:textId="77777777" w:rsidR="00C21D39" w:rsidRPr="003A2EB4" w:rsidRDefault="00C21D39" w:rsidP="00C21D39">
      <w:r w:rsidRPr="003A2EB4">
        <w:t xml:space="preserve">A Bill will be introduced before the end of 2024 to make stalking a specific offence in New Zealand, and changing sentencing to ensure the safety of victims/survivors is prioritised. </w:t>
      </w:r>
    </w:p>
    <w:p w14:paraId="379FC7FB" w14:textId="6AC72EB6" w:rsidR="00C21D39" w:rsidRPr="003A2EB4" w:rsidRDefault="00C21D39" w:rsidP="00C21D39">
      <w:r w:rsidRPr="003A2EB4">
        <w:rPr>
          <w:b/>
          <w:bCs/>
        </w:rPr>
        <w:t>When:</w:t>
      </w:r>
      <w:r w:rsidRPr="003A2EB4">
        <w:t xml:space="preserve"> </w:t>
      </w:r>
      <w:r w:rsidR="00B968FF" w:rsidRPr="003A2EB4">
        <w:t>December</w:t>
      </w:r>
      <w:r w:rsidRPr="003A2EB4">
        <w:t xml:space="preserve"> 2024 </w:t>
      </w:r>
    </w:p>
    <w:p w14:paraId="14A1FAE8" w14:textId="77777777" w:rsidR="00C21D39" w:rsidRPr="003A2EB4" w:rsidRDefault="00C21D39" w:rsidP="00C21D39">
      <w:r w:rsidRPr="003A2EB4">
        <w:rPr>
          <w:b/>
          <w:bCs/>
        </w:rPr>
        <w:t>Partners:</w:t>
      </w:r>
      <w:r w:rsidRPr="003A2EB4">
        <w:t xml:space="preserve"> Ministry of Justice, NZ Police </w:t>
      </w:r>
    </w:p>
    <w:p w14:paraId="7DACBC60" w14:textId="249AD407" w:rsidR="00C21D39" w:rsidRPr="003A2EB4" w:rsidRDefault="00C21D39" w:rsidP="00C21D39">
      <w:r w:rsidRPr="003A2EB4">
        <w:rPr>
          <w:b/>
          <w:bCs/>
        </w:rPr>
        <w:t>Milestones:</w:t>
      </w:r>
      <w:r w:rsidRPr="003A2EB4">
        <w:t xml:space="preserve"> </w:t>
      </w:r>
      <w:r w:rsidR="00B968FF" w:rsidRPr="003A2EB4">
        <w:t>December</w:t>
      </w:r>
      <w:r w:rsidRPr="003A2EB4">
        <w:t xml:space="preserve"> 2024 – Introduction of stalking legislation</w:t>
      </w:r>
    </w:p>
    <w:p w14:paraId="139851E1" w14:textId="3AAC45E6" w:rsidR="00DD41F7" w:rsidRPr="003A2EB4" w:rsidRDefault="00DD41F7" w:rsidP="008A5FA0">
      <w:pPr>
        <w:pStyle w:val="Heading3"/>
      </w:pPr>
      <w:r w:rsidRPr="003A2EB4">
        <w:t>Provide the right intervention services</w:t>
      </w:r>
    </w:p>
    <w:p w14:paraId="261B71ED" w14:textId="593FF50C" w:rsidR="00DD41F7" w:rsidRPr="003A2EB4" w:rsidRDefault="00DD41F7" w:rsidP="008A5FA0">
      <w:pPr>
        <w:pStyle w:val="Heading4"/>
      </w:pPr>
      <w:r w:rsidRPr="003A2EB4">
        <w:t>Review current interventions for people who use violence</w:t>
      </w:r>
    </w:p>
    <w:p w14:paraId="5C227890" w14:textId="0C8FE705" w:rsidR="00DD41F7" w:rsidRPr="003A2EB4" w:rsidRDefault="00DD41F7" w:rsidP="00DD41F7">
      <w:r w:rsidRPr="003A2EB4">
        <w:t>We need to better understand the current community-based non-violence programmes to understand what is effective at stopping violence and when to intervene. We will undertake a review of current interventions to inform future service design, and identify what resources and support are necessary to deliver long-term change.</w:t>
      </w:r>
    </w:p>
    <w:p w14:paraId="37E4EBC0" w14:textId="3258BD36" w:rsidR="00DD41F7" w:rsidRPr="003A2EB4" w:rsidRDefault="00DD41F7" w:rsidP="00DD41F7">
      <w:r w:rsidRPr="003A2EB4">
        <w:rPr>
          <w:b/>
          <w:bCs/>
        </w:rPr>
        <w:t>When:</w:t>
      </w:r>
      <w:r w:rsidRPr="003A2EB4">
        <w:t xml:space="preserve"> </w:t>
      </w:r>
      <w:r w:rsidR="00B968FF" w:rsidRPr="003A2EB4">
        <w:t>December</w:t>
      </w:r>
      <w:r w:rsidRPr="003A2EB4">
        <w:t xml:space="preserve"> 2025 </w:t>
      </w:r>
    </w:p>
    <w:p w14:paraId="5EB9084E" w14:textId="77777777" w:rsidR="00DD41F7" w:rsidRPr="003A2EB4" w:rsidRDefault="00DD41F7" w:rsidP="00DD41F7">
      <w:r w:rsidRPr="003A2EB4">
        <w:rPr>
          <w:b/>
          <w:bCs/>
        </w:rPr>
        <w:t>Partners:</w:t>
      </w:r>
      <w:r w:rsidRPr="003A2EB4">
        <w:t xml:space="preserve"> Ministry of Justice, Department of Corrections, NZ Police, Ministry of Social Development, Oranga Tamariki, Social Investment Agency </w:t>
      </w:r>
    </w:p>
    <w:p w14:paraId="3A41D195" w14:textId="1C5C04AD" w:rsidR="001A2EA1" w:rsidRPr="003A2EB4" w:rsidRDefault="00DD41F7" w:rsidP="00DD41F7">
      <w:r w:rsidRPr="003A2EB4">
        <w:rPr>
          <w:b/>
          <w:bCs/>
        </w:rPr>
        <w:t>Milestones:</w:t>
      </w:r>
      <w:r w:rsidRPr="003A2EB4">
        <w:t xml:space="preserve"> </w:t>
      </w:r>
      <w:r w:rsidR="00B968FF" w:rsidRPr="003A2EB4">
        <w:t>March</w:t>
      </w:r>
      <w:r w:rsidRPr="003A2EB4">
        <w:t xml:space="preserve"> 2025 – Scope of review and responsibilities agreed by government agencies; </w:t>
      </w:r>
      <w:r w:rsidR="00B968FF" w:rsidRPr="003A2EB4">
        <w:t>December</w:t>
      </w:r>
      <w:r w:rsidRPr="003A2EB4">
        <w:t xml:space="preserve"> 2025 –Complete current and future state analysis of intervention system for people who use violence</w:t>
      </w:r>
    </w:p>
    <w:p w14:paraId="702375FC" w14:textId="139CA4A6" w:rsidR="001A2EA1" w:rsidRPr="003A2EB4" w:rsidRDefault="00624C40" w:rsidP="00624C40">
      <w:pPr>
        <w:pStyle w:val="Heading1"/>
      </w:pPr>
      <w:r w:rsidRPr="003A2EB4">
        <w:t>Stopping violence</w:t>
      </w:r>
    </w:p>
    <w:p w14:paraId="4D8E9330" w14:textId="1D8B4C1F" w:rsidR="00624C40" w:rsidRPr="003A2EB4" w:rsidRDefault="00624C40" w:rsidP="00624C40">
      <w:pPr>
        <w:pStyle w:val="Heading2"/>
      </w:pPr>
      <w:r w:rsidRPr="003A2EB4">
        <w:t>What we will do</w:t>
      </w:r>
    </w:p>
    <w:p w14:paraId="2812529A" w14:textId="1A0A4B4B" w:rsidR="00624C40" w:rsidRPr="003A2EB4" w:rsidRDefault="00624C40" w:rsidP="008A5FA0">
      <w:pPr>
        <w:pStyle w:val="Heading3"/>
      </w:pPr>
      <w:r w:rsidRPr="003A2EB4">
        <w:t>Provide the right intervention services</w:t>
      </w:r>
    </w:p>
    <w:p w14:paraId="65D8CEE4" w14:textId="77777777" w:rsidR="00624C40" w:rsidRPr="003A2EB4" w:rsidRDefault="00624C40" w:rsidP="008A5FA0">
      <w:pPr>
        <w:pStyle w:val="Heading4"/>
      </w:pPr>
      <w:r w:rsidRPr="003A2EB4">
        <w:t xml:space="preserve">Support men’s behaviour change through Te Huringa ō Te Ao </w:t>
      </w:r>
    </w:p>
    <w:p w14:paraId="55DB2608" w14:textId="77777777" w:rsidR="005C0425" w:rsidRPr="003A2EB4" w:rsidRDefault="00624C40" w:rsidP="00DD41F7">
      <w:r w:rsidRPr="003A2EB4">
        <w:t xml:space="preserve">Te Huringa ō Te Ao is a new family violence service for tāne and men who are harming and hurting their partners and children and who realise it is time to change. This service will support work in communities, and provide long-term, flexible contracts to enable service development and delivery. A core expectation from this service is the rollout of a ‘test, learn, and improve’ approach. </w:t>
      </w:r>
    </w:p>
    <w:p w14:paraId="1DFB2E91" w14:textId="676FD3A5" w:rsidR="000A7824" w:rsidRPr="003A2EB4" w:rsidRDefault="00624C40" w:rsidP="00DD41F7">
      <w:r w:rsidRPr="003A2EB4">
        <w:rPr>
          <w:b/>
          <w:bCs/>
        </w:rPr>
        <w:lastRenderedPageBreak/>
        <w:t xml:space="preserve">When: </w:t>
      </w:r>
      <w:r w:rsidR="00B968FF" w:rsidRPr="003A2EB4">
        <w:t>December</w:t>
      </w:r>
      <w:r w:rsidRPr="003A2EB4">
        <w:t xml:space="preserve"> 2025 </w:t>
      </w:r>
    </w:p>
    <w:p w14:paraId="7D00432D" w14:textId="2E76C89E" w:rsidR="000A7824" w:rsidRPr="003A2EB4" w:rsidRDefault="00624C40" w:rsidP="00DD41F7">
      <w:r w:rsidRPr="003A2EB4">
        <w:rPr>
          <w:b/>
          <w:bCs/>
        </w:rPr>
        <w:t>Partners:</w:t>
      </w:r>
      <w:r w:rsidRPr="003A2EB4">
        <w:t xml:space="preserve"> Ministry of Social Development </w:t>
      </w:r>
    </w:p>
    <w:p w14:paraId="3070B5EC" w14:textId="3FFD07E5" w:rsidR="00624C40" w:rsidRPr="003A2EB4" w:rsidRDefault="00624C40" w:rsidP="00DD41F7">
      <w:r w:rsidRPr="003A2EB4">
        <w:rPr>
          <w:b/>
          <w:bCs/>
        </w:rPr>
        <w:t>Milestones:</w:t>
      </w:r>
      <w:r w:rsidRPr="003A2EB4">
        <w:t xml:space="preserve"> </w:t>
      </w:r>
      <w:r w:rsidR="00B968FF" w:rsidRPr="003A2EB4">
        <w:t>April</w:t>
      </w:r>
      <w:r w:rsidRPr="003A2EB4">
        <w:t xml:space="preserve"> 2025 </w:t>
      </w:r>
      <w:r w:rsidR="000A7824" w:rsidRPr="003A2EB4">
        <w:t xml:space="preserve">– </w:t>
      </w:r>
      <w:r w:rsidRPr="003A2EB4">
        <w:t>Contracts agreed with Te Huringa ō Te Ao providers</w:t>
      </w:r>
      <w:r w:rsidR="000A7824" w:rsidRPr="003A2EB4">
        <w:t>;</w:t>
      </w:r>
      <w:r w:rsidRPr="003A2EB4">
        <w:t xml:space="preserve"> </w:t>
      </w:r>
      <w:r w:rsidR="00B968FF" w:rsidRPr="003A2EB4">
        <w:t>December</w:t>
      </w:r>
      <w:r w:rsidRPr="003A2EB4">
        <w:t xml:space="preserve"> 2025 </w:t>
      </w:r>
      <w:r w:rsidR="000A7824" w:rsidRPr="003A2EB4">
        <w:t xml:space="preserve">– </w:t>
      </w:r>
      <w:r w:rsidRPr="003A2EB4">
        <w:t>Baseline evaluation scoped</w:t>
      </w:r>
    </w:p>
    <w:p w14:paraId="1EA19C1D" w14:textId="77777777" w:rsidR="00624C40" w:rsidRPr="003A2EB4" w:rsidRDefault="00624C40" w:rsidP="008A5FA0">
      <w:pPr>
        <w:pStyle w:val="Heading4"/>
      </w:pPr>
      <w:r w:rsidRPr="003A2EB4">
        <w:t xml:space="preserve">Extend rehabilitation support services to prisoners on remand </w:t>
      </w:r>
    </w:p>
    <w:p w14:paraId="60F5F3C0" w14:textId="77777777" w:rsidR="000A7824" w:rsidRPr="003A2EB4" w:rsidRDefault="00624C40" w:rsidP="00DD41F7">
      <w:r w:rsidRPr="003A2EB4">
        <w:t xml:space="preserve">Prisoners on remand (meaning those awaiting sentencing or in custody) cannot currently access offence focused rehabilitation programmes to turn their lives around. These programmes play a crucial role in reducing reoffending. This action ensures people who commit violent offences can access the services they need to break the cycles of violent behaviour and leave remand with better and with brighter prospects. </w:t>
      </w:r>
    </w:p>
    <w:p w14:paraId="2CDFD82E" w14:textId="7FEB3CA3" w:rsidR="000A7824" w:rsidRPr="003A2EB4" w:rsidRDefault="00624C40" w:rsidP="00DD41F7">
      <w:r w:rsidRPr="003A2EB4">
        <w:rPr>
          <w:b/>
          <w:bCs/>
        </w:rPr>
        <w:t>When:</w:t>
      </w:r>
      <w:r w:rsidRPr="003A2EB4">
        <w:t xml:space="preserve"> </w:t>
      </w:r>
      <w:r w:rsidR="00B968FF" w:rsidRPr="003A2EB4">
        <w:t>June</w:t>
      </w:r>
      <w:r w:rsidRPr="003A2EB4">
        <w:t xml:space="preserve"> 2025 </w:t>
      </w:r>
    </w:p>
    <w:p w14:paraId="02B273D1" w14:textId="77777777" w:rsidR="000A7824" w:rsidRPr="003A2EB4" w:rsidRDefault="00624C40" w:rsidP="00DD41F7">
      <w:r w:rsidRPr="003A2EB4">
        <w:rPr>
          <w:b/>
          <w:bCs/>
        </w:rPr>
        <w:t>Partners:</w:t>
      </w:r>
      <w:r w:rsidRPr="003A2EB4">
        <w:t xml:space="preserve"> Department of Corrections </w:t>
      </w:r>
    </w:p>
    <w:p w14:paraId="7CA0B49E" w14:textId="407F218B" w:rsidR="00624C40" w:rsidRPr="003A2EB4" w:rsidRDefault="00624C40" w:rsidP="00DD41F7">
      <w:r w:rsidRPr="003A2EB4">
        <w:rPr>
          <w:b/>
          <w:bCs/>
        </w:rPr>
        <w:t xml:space="preserve">Milestones: </w:t>
      </w:r>
      <w:r w:rsidR="00B968FF" w:rsidRPr="003A2EB4">
        <w:t>December</w:t>
      </w:r>
      <w:r w:rsidRPr="003A2EB4">
        <w:t xml:space="preserve"> 2024 </w:t>
      </w:r>
      <w:r w:rsidR="000A7824" w:rsidRPr="003A2EB4">
        <w:t xml:space="preserve">– </w:t>
      </w:r>
      <w:r w:rsidRPr="003A2EB4">
        <w:t>Draft high level plan for service expansion</w:t>
      </w:r>
      <w:r w:rsidR="000A7824" w:rsidRPr="003A2EB4">
        <w:t>;</w:t>
      </w:r>
      <w:r w:rsidRPr="003A2EB4">
        <w:t xml:space="preserve"> </w:t>
      </w:r>
      <w:r w:rsidR="00B968FF" w:rsidRPr="003A2EB4">
        <w:t>March</w:t>
      </w:r>
      <w:r w:rsidRPr="003A2EB4">
        <w:t xml:space="preserve"> 2025 </w:t>
      </w:r>
      <w:r w:rsidR="000A7824" w:rsidRPr="003A2EB4">
        <w:t xml:space="preserve">– </w:t>
      </w:r>
      <w:r w:rsidRPr="003A2EB4">
        <w:t>Plan submitted to Treasury to release funding for additional services</w:t>
      </w:r>
      <w:r w:rsidR="000A7824" w:rsidRPr="003A2EB4">
        <w:t xml:space="preserve">; </w:t>
      </w:r>
      <w:r w:rsidR="00B968FF" w:rsidRPr="003A2EB4">
        <w:t>July</w:t>
      </w:r>
      <w:r w:rsidRPr="003A2EB4">
        <w:t xml:space="preserve"> 2025 </w:t>
      </w:r>
      <w:r w:rsidR="000A7824" w:rsidRPr="003A2EB4">
        <w:t xml:space="preserve">– </w:t>
      </w:r>
      <w:r w:rsidRPr="003A2EB4">
        <w:t>Begin expansion of services</w:t>
      </w:r>
    </w:p>
    <w:p w14:paraId="51337942" w14:textId="77777777" w:rsidR="00AE614E" w:rsidRPr="003A2EB4" w:rsidRDefault="00AE614E" w:rsidP="00AE614E">
      <w:pPr>
        <w:pStyle w:val="Heading1"/>
      </w:pPr>
      <w:r w:rsidRPr="003A2EB4">
        <w:t>Stopping violence</w:t>
      </w:r>
    </w:p>
    <w:p w14:paraId="3EBFBDAE" w14:textId="77777777" w:rsidR="00AE614E" w:rsidRPr="003A2EB4" w:rsidRDefault="00AE614E" w:rsidP="00AE614E">
      <w:pPr>
        <w:pStyle w:val="Heading2"/>
      </w:pPr>
      <w:r w:rsidRPr="003A2EB4">
        <w:t>What we will do</w:t>
      </w:r>
    </w:p>
    <w:p w14:paraId="5CDC9AD8" w14:textId="77777777" w:rsidR="00AE614E" w:rsidRPr="003A2EB4" w:rsidRDefault="00AE614E" w:rsidP="008A5FA0">
      <w:pPr>
        <w:pStyle w:val="Heading3"/>
      </w:pPr>
      <w:r w:rsidRPr="003A2EB4">
        <w:t>Provide the right intervention services</w:t>
      </w:r>
    </w:p>
    <w:p w14:paraId="2C2272BC" w14:textId="77777777" w:rsidR="00AE614E" w:rsidRPr="003A2EB4" w:rsidRDefault="00AE614E" w:rsidP="008A5FA0">
      <w:pPr>
        <w:pStyle w:val="Heading4"/>
      </w:pPr>
      <w:r w:rsidRPr="003A2EB4">
        <w:t xml:space="preserve">Expand access to safety programmes in the criminal court </w:t>
      </w:r>
    </w:p>
    <w:p w14:paraId="5C8812A9" w14:textId="51EA7F4C" w:rsidR="00AE614E" w:rsidRPr="003A2EB4" w:rsidRDefault="00AE614E" w:rsidP="00DD41F7">
      <w:r w:rsidRPr="003A2EB4">
        <w:t>Safety programmes help victim/survivors to be safe, recover from family violence, and protect themselves from any future violence. Through expanding access to safety programmes, we can increase safety and wellbeing for victim/survivors and their children, helping to minimise the risk of further victimisation and harm.</w:t>
      </w:r>
    </w:p>
    <w:p w14:paraId="0A209057" w14:textId="077AE6D0" w:rsidR="00BA1665" w:rsidRPr="003A2EB4" w:rsidRDefault="00BA1665" w:rsidP="00DD41F7">
      <w:r w:rsidRPr="003A2EB4">
        <w:rPr>
          <w:b/>
          <w:bCs/>
        </w:rPr>
        <w:t xml:space="preserve">When: </w:t>
      </w:r>
      <w:r w:rsidR="00B968FF" w:rsidRPr="003A2EB4">
        <w:t>July</w:t>
      </w:r>
      <w:r w:rsidRPr="003A2EB4">
        <w:t xml:space="preserve"> 2025 </w:t>
      </w:r>
    </w:p>
    <w:p w14:paraId="34DCBED8" w14:textId="77777777" w:rsidR="00BA1665" w:rsidRPr="003A2EB4" w:rsidRDefault="00BA1665" w:rsidP="00DD41F7">
      <w:r w:rsidRPr="003A2EB4">
        <w:rPr>
          <w:b/>
          <w:bCs/>
        </w:rPr>
        <w:t xml:space="preserve">Partners: </w:t>
      </w:r>
      <w:r w:rsidRPr="003A2EB4">
        <w:t xml:space="preserve">Ministry of Justice </w:t>
      </w:r>
    </w:p>
    <w:p w14:paraId="621DD42E" w14:textId="32312CA2" w:rsidR="00BA1665" w:rsidRPr="003A2EB4" w:rsidRDefault="00BA1665" w:rsidP="00DD41F7">
      <w:r w:rsidRPr="003A2EB4">
        <w:rPr>
          <w:b/>
          <w:bCs/>
        </w:rPr>
        <w:t xml:space="preserve">Milestones: </w:t>
      </w:r>
      <w:r w:rsidR="00B968FF" w:rsidRPr="003A2EB4">
        <w:t>June</w:t>
      </w:r>
      <w:r w:rsidRPr="003A2EB4">
        <w:t xml:space="preserve"> 2025 – Contracts agreed with providers; </w:t>
      </w:r>
      <w:r w:rsidR="00B968FF" w:rsidRPr="003A2EB4">
        <w:t>July</w:t>
      </w:r>
      <w:r w:rsidRPr="003A2EB4">
        <w:t xml:space="preserve"> 2025 – Safety programmes go live in the criminal court</w:t>
      </w:r>
    </w:p>
    <w:p w14:paraId="08809132" w14:textId="77777777" w:rsidR="00907236" w:rsidRPr="003A2EB4" w:rsidRDefault="00907236">
      <w:pPr>
        <w:autoSpaceDE/>
        <w:autoSpaceDN/>
        <w:adjustRightInd/>
        <w:spacing w:before="0" w:after="160" w:line="259" w:lineRule="auto"/>
        <w:rPr>
          <w:rFonts w:eastAsia="Times New Roman"/>
          <w:b/>
          <w:color w:val="293D8A"/>
          <w:sz w:val="32"/>
          <w:szCs w:val="32"/>
          <w:lang w:eastAsia="ja-JP"/>
          <w14:ligatures w14:val="none"/>
        </w:rPr>
      </w:pPr>
      <w:r w:rsidRPr="003A2EB4">
        <w:br w:type="page"/>
      </w:r>
    </w:p>
    <w:p w14:paraId="50586608" w14:textId="4C1CD0BC" w:rsidR="00F93FE7" w:rsidRPr="003A2EB4" w:rsidRDefault="00F93FE7" w:rsidP="00F93FE7">
      <w:pPr>
        <w:pStyle w:val="Heading1"/>
      </w:pPr>
      <w:r w:rsidRPr="003A2EB4">
        <w:lastRenderedPageBreak/>
        <w:t>Agencies taking action</w:t>
      </w:r>
    </w:p>
    <w:p w14:paraId="0B2593CD" w14:textId="60320DA6" w:rsidR="00F93FE7" w:rsidRPr="003A2EB4" w:rsidRDefault="00F93FE7" w:rsidP="00DD41F7">
      <w:r w:rsidRPr="003A2EB4">
        <w:t>Agencies are, and will continue undertaking activities in the family violence and sexual violence system in support of the focus areas of this plan. This provides a snapshot of some of these activities. Further details can be found in appendix 3.</w:t>
      </w:r>
    </w:p>
    <w:p w14:paraId="613C5D18" w14:textId="656FA635" w:rsidR="00F93FE7" w:rsidRPr="003A2EB4" w:rsidRDefault="008D3941" w:rsidP="008D3941">
      <w:pPr>
        <w:pStyle w:val="Heading2"/>
      </w:pPr>
      <w:r w:rsidRPr="003A2EB4">
        <w:t>Workforce</w:t>
      </w:r>
    </w:p>
    <w:p w14:paraId="1C0FFB3D" w14:textId="0C144037" w:rsidR="00F93FE7" w:rsidRPr="003A2EB4" w:rsidRDefault="008D3941" w:rsidP="00B537E4">
      <w:pPr>
        <w:pStyle w:val="ListParagraph"/>
        <w:numPr>
          <w:ilvl w:val="0"/>
          <w:numId w:val="23"/>
        </w:numPr>
      </w:pPr>
      <w:r w:rsidRPr="003A2EB4">
        <w:t>Training 10,000 frontline statutory workers</w:t>
      </w:r>
    </w:p>
    <w:p w14:paraId="4E4BB9AC" w14:textId="7B4E7F63" w:rsidR="00F93FE7" w:rsidRPr="003A2EB4" w:rsidRDefault="008D3941" w:rsidP="00B537E4">
      <w:pPr>
        <w:pStyle w:val="ListParagraph"/>
        <w:numPr>
          <w:ilvl w:val="0"/>
          <w:numId w:val="23"/>
        </w:numPr>
      </w:pPr>
      <w:r w:rsidRPr="003A2EB4">
        <w:t>Future capacity plan for FVSV workforce</w:t>
      </w:r>
    </w:p>
    <w:p w14:paraId="337361BA" w14:textId="6CBCDBD5" w:rsidR="008D3941" w:rsidRPr="003A2EB4" w:rsidRDefault="008D3941" w:rsidP="00B537E4">
      <w:pPr>
        <w:pStyle w:val="ListParagraph"/>
        <w:numPr>
          <w:ilvl w:val="0"/>
          <w:numId w:val="23"/>
        </w:numPr>
      </w:pPr>
      <w:r w:rsidRPr="003A2EB4">
        <w:t>Family violence and sexual violence capability frameworks and training plans</w:t>
      </w:r>
    </w:p>
    <w:p w14:paraId="6F11C9D4" w14:textId="6F34E04C" w:rsidR="008D3941" w:rsidRPr="003A2EB4" w:rsidRDefault="008D3941" w:rsidP="00B537E4">
      <w:pPr>
        <w:pStyle w:val="ListParagraph"/>
        <w:numPr>
          <w:ilvl w:val="0"/>
          <w:numId w:val="23"/>
        </w:numPr>
      </w:pPr>
      <w:r w:rsidRPr="003A2EB4">
        <w:t>Health Violence Intervention Programme</w:t>
      </w:r>
    </w:p>
    <w:p w14:paraId="1E7FC515" w14:textId="7625264C" w:rsidR="00F93FE7" w:rsidRPr="003A2EB4" w:rsidRDefault="008D3941" w:rsidP="008D3941">
      <w:pPr>
        <w:pStyle w:val="Heading2"/>
      </w:pPr>
      <w:r w:rsidRPr="003A2EB4">
        <w:t>Protecting children and young people</w:t>
      </w:r>
    </w:p>
    <w:p w14:paraId="1F68B1F9" w14:textId="70478889" w:rsidR="00F93FE7" w:rsidRPr="003A2EB4" w:rsidRDefault="006B3081" w:rsidP="00B537E4">
      <w:pPr>
        <w:pStyle w:val="ListParagraph"/>
        <w:numPr>
          <w:ilvl w:val="0"/>
          <w:numId w:val="23"/>
        </w:numPr>
      </w:pPr>
      <w:r w:rsidRPr="003A2EB4">
        <w:t>Children’s Flexi Fund</w:t>
      </w:r>
    </w:p>
    <w:p w14:paraId="69101996" w14:textId="43A06D13" w:rsidR="006B3081" w:rsidRPr="003A2EB4" w:rsidRDefault="006B3081" w:rsidP="00B537E4">
      <w:pPr>
        <w:pStyle w:val="ListParagraph"/>
        <w:numPr>
          <w:ilvl w:val="0"/>
          <w:numId w:val="23"/>
        </w:numPr>
      </w:pPr>
      <w:r w:rsidRPr="003A2EB4">
        <w:t>The Child Advocates Programme</w:t>
      </w:r>
    </w:p>
    <w:p w14:paraId="4E7F20AC" w14:textId="291D6DC3" w:rsidR="006B3081" w:rsidRPr="003A2EB4" w:rsidRDefault="006B3081" w:rsidP="00B537E4">
      <w:pPr>
        <w:pStyle w:val="ListParagraph"/>
        <w:numPr>
          <w:ilvl w:val="0"/>
          <w:numId w:val="23"/>
        </w:numPr>
      </w:pPr>
      <w:r w:rsidRPr="003A2EB4">
        <w:t>Specialist court support for child victims of sexual violence</w:t>
      </w:r>
    </w:p>
    <w:p w14:paraId="0F8BEF05" w14:textId="70E6DCFB" w:rsidR="006B3081" w:rsidRPr="003A2EB4" w:rsidRDefault="006B3081" w:rsidP="00B537E4">
      <w:pPr>
        <w:pStyle w:val="ListParagraph"/>
        <w:numPr>
          <w:ilvl w:val="0"/>
          <w:numId w:val="23"/>
        </w:numPr>
      </w:pPr>
      <w:r w:rsidRPr="003A2EB4">
        <w:t>Kā Au Kahuraki</w:t>
      </w:r>
    </w:p>
    <w:p w14:paraId="5A8531E8" w14:textId="6364448D" w:rsidR="006B3081" w:rsidRPr="003A2EB4" w:rsidRDefault="006B3081" w:rsidP="00B537E4">
      <w:pPr>
        <w:pStyle w:val="ListParagraph"/>
        <w:numPr>
          <w:ilvl w:val="0"/>
          <w:numId w:val="23"/>
        </w:numPr>
      </w:pPr>
      <w:r w:rsidRPr="003A2EB4">
        <w:t>Specialist restorative justice services</w:t>
      </w:r>
    </w:p>
    <w:p w14:paraId="6D0C62B7" w14:textId="1CCD407C" w:rsidR="00F93FE7" w:rsidRPr="003A2EB4" w:rsidRDefault="008D3941" w:rsidP="008D3941">
      <w:pPr>
        <w:pStyle w:val="Heading2"/>
      </w:pPr>
      <w:r w:rsidRPr="003A2EB4">
        <w:t>Sexual violence</w:t>
      </w:r>
    </w:p>
    <w:p w14:paraId="5B79380D" w14:textId="1DBAE8CD" w:rsidR="008D3941" w:rsidRPr="003A2EB4" w:rsidRDefault="006B3081" w:rsidP="00B537E4">
      <w:pPr>
        <w:pStyle w:val="ListParagraph"/>
        <w:numPr>
          <w:ilvl w:val="0"/>
          <w:numId w:val="23"/>
        </w:numPr>
      </w:pPr>
      <w:r w:rsidRPr="003A2EB4">
        <w:t>Kaupapa Māori sexual violence services</w:t>
      </w:r>
    </w:p>
    <w:p w14:paraId="66273585" w14:textId="0802EF64" w:rsidR="006B3081" w:rsidRPr="003A2EB4" w:rsidRDefault="006B3081" w:rsidP="00B537E4">
      <w:pPr>
        <w:pStyle w:val="ListParagraph"/>
        <w:numPr>
          <w:ilvl w:val="0"/>
          <w:numId w:val="23"/>
        </w:numPr>
      </w:pPr>
      <w:r w:rsidRPr="003A2EB4">
        <w:t>Single entry platform for sexual violence services</w:t>
      </w:r>
    </w:p>
    <w:p w14:paraId="115B476F" w14:textId="1211D4A8" w:rsidR="006B3081" w:rsidRPr="003A2EB4" w:rsidRDefault="006B3081" w:rsidP="00B537E4">
      <w:pPr>
        <w:pStyle w:val="ListParagraph"/>
        <w:numPr>
          <w:ilvl w:val="0"/>
          <w:numId w:val="23"/>
        </w:numPr>
      </w:pPr>
      <w:r w:rsidRPr="003A2EB4">
        <w:t>Concerning Sexual Ideation Service</w:t>
      </w:r>
    </w:p>
    <w:p w14:paraId="3ABCB512" w14:textId="7F9DEDF6" w:rsidR="008D3941" w:rsidRPr="003A2EB4" w:rsidRDefault="008D3941" w:rsidP="008D3941">
      <w:pPr>
        <w:pStyle w:val="Heading2"/>
      </w:pPr>
      <w:r w:rsidRPr="003A2EB4">
        <w:t>Preventing violence before it starts</w:t>
      </w:r>
    </w:p>
    <w:p w14:paraId="692DF27A" w14:textId="3BC63C00" w:rsidR="008D3941" w:rsidRPr="003A2EB4" w:rsidRDefault="006B3081" w:rsidP="00B537E4">
      <w:pPr>
        <w:pStyle w:val="ListParagraph"/>
        <w:numPr>
          <w:ilvl w:val="0"/>
          <w:numId w:val="23"/>
        </w:numPr>
      </w:pPr>
      <w:r w:rsidRPr="003A2EB4">
        <w:t>Pasefika Proud</w:t>
      </w:r>
    </w:p>
    <w:p w14:paraId="6323DDDE" w14:textId="04BA4DA2" w:rsidR="006B3081" w:rsidRPr="003A2EB4" w:rsidRDefault="006B3081" w:rsidP="00B537E4">
      <w:pPr>
        <w:pStyle w:val="ListParagraph"/>
        <w:numPr>
          <w:ilvl w:val="0"/>
          <w:numId w:val="23"/>
        </w:numPr>
      </w:pPr>
      <w:r w:rsidRPr="003A2EB4">
        <w:t>E Tū Whānau</w:t>
      </w:r>
    </w:p>
    <w:p w14:paraId="4770D750" w14:textId="592FF1C5" w:rsidR="006B3081" w:rsidRPr="003A2EB4" w:rsidRDefault="006B3081" w:rsidP="00B537E4">
      <w:pPr>
        <w:pStyle w:val="ListParagraph"/>
        <w:numPr>
          <w:ilvl w:val="0"/>
          <w:numId w:val="23"/>
        </w:numPr>
      </w:pPr>
      <w:r w:rsidRPr="003A2EB4">
        <w:t>Change is Possible</w:t>
      </w:r>
    </w:p>
    <w:p w14:paraId="6D642E5B" w14:textId="2A790A9F" w:rsidR="006B3081" w:rsidRPr="003A2EB4" w:rsidRDefault="006B3081" w:rsidP="00B537E4">
      <w:pPr>
        <w:pStyle w:val="ListParagraph"/>
        <w:numPr>
          <w:ilvl w:val="0"/>
          <w:numId w:val="23"/>
        </w:numPr>
      </w:pPr>
      <w:r w:rsidRPr="003A2EB4">
        <w:t>Whānau-Centred Facilitation Initiative</w:t>
      </w:r>
    </w:p>
    <w:p w14:paraId="0FF49C68" w14:textId="4314C409" w:rsidR="006B3081" w:rsidRPr="003A2EB4" w:rsidRDefault="006B3081" w:rsidP="00B537E4">
      <w:pPr>
        <w:pStyle w:val="ListParagraph"/>
        <w:numPr>
          <w:ilvl w:val="0"/>
          <w:numId w:val="23"/>
        </w:numPr>
      </w:pPr>
      <w:r w:rsidRPr="003A2EB4">
        <w:t>Community-led sexual violence primary prevention</w:t>
      </w:r>
    </w:p>
    <w:p w14:paraId="540BB170" w14:textId="74539C1E" w:rsidR="00B537E4" w:rsidRPr="003A2EB4" w:rsidRDefault="00B537E4" w:rsidP="00B537E4">
      <w:pPr>
        <w:pStyle w:val="ListParagraph"/>
        <w:numPr>
          <w:ilvl w:val="0"/>
          <w:numId w:val="23"/>
        </w:numPr>
      </w:pPr>
      <w:r w:rsidRPr="003A2EB4">
        <w:t>Elder Abuse Response Service</w:t>
      </w:r>
    </w:p>
    <w:p w14:paraId="6F1567A7" w14:textId="77777777" w:rsidR="00907236" w:rsidRPr="003A2EB4" w:rsidRDefault="00907236">
      <w:pPr>
        <w:autoSpaceDE/>
        <w:autoSpaceDN/>
        <w:adjustRightInd/>
        <w:spacing w:before="0" w:after="160" w:line="259" w:lineRule="auto"/>
        <w:rPr>
          <w:rFonts w:eastAsia="Times New Roman"/>
          <w:b/>
          <w:sz w:val="32"/>
          <w:szCs w:val="32"/>
          <w:lang w:eastAsia="ja-JP"/>
          <w14:ligatures w14:val="none"/>
        </w:rPr>
      </w:pPr>
      <w:r w:rsidRPr="003A2EB4">
        <w:rPr>
          <w:rFonts w:eastAsia="Times New Roman"/>
          <w:b/>
          <w:sz w:val="32"/>
          <w:szCs w:val="32"/>
          <w:lang w:eastAsia="ja-JP"/>
          <w14:ligatures w14:val="none"/>
        </w:rPr>
        <w:br w:type="page"/>
      </w:r>
    </w:p>
    <w:p w14:paraId="5067318C" w14:textId="17640E9A" w:rsidR="00706B94" w:rsidRPr="003A2EB4" w:rsidRDefault="004329A5" w:rsidP="00907236">
      <w:pPr>
        <w:pStyle w:val="Heading1"/>
        <w:rPr>
          <w:color w:val="auto"/>
        </w:rPr>
      </w:pPr>
      <w:r w:rsidRPr="003A2EB4">
        <w:rPr>
          <w:color w:val="auto"/>
        </w:rPr>
        <w:lastRenderedPageBreak/>
        <w:t>Appendi</w:t>
      </w:r>
      <w:r w:rsidR="00795978">
        <w:rPr>
          <w:color w:val="auto"/>
        </w:rPr>
        <w:t>ces</w:t>
      </w:r>
    </w:p>
    <w:p w14:paraId="55DC6A71" w14:textId="2F61B621" w:rsidR="00B7355C" w:rsidRPr="003A2EB4" w:rsidRDefault="00DB2EC6" w:rsidP="00DB2EC6">
      <w:pPr>
        <w:pStyle w:val="Heading1"/>
      </w:pPr>
      <w:r w:rsidRPr="003A2EB4">
        <w:t xml:space="preserve">Appendix 1: </w:t>
      </w:r>
      <w:r w:rsidR="00907236" w:rsidRPr="003A2EB4">
        <w:t>F</w:t>
      </w:r>
      <w:r w:rsidRPr="003A2EB4">
        <w:t>ocus areas</w:t>
      </w:r>
    </w:p>
    <w:p w14:paraId="09280C9F" w14:textId="14312087" w:rsidR="00DB2EC6" w:rsidRPr="003A2EB4" w:rsidRDefault="00DB2EC6" w:rsidP="00DB2EC6">
      <w:r w:rsidRPr="003A2EB4">
        <w:t>This describes in more detail the intent of each of the five year focus areas. These support the intent of Te Aorerekura - the National Strategy and six system shifts. We have shown which shifts the focus areas will support.</w:t>
      </w:r>
    </w:p>
    <w:p w14:paraId="765DCDBF" w14:textId="3A236512" w:rsidR="008A77F2" w:rsidRPr="003A2EB4" w:rsidRDefault="003B1C54" w:rsidP="008A77F2">
      <w:pPr>
        <w:pStyle w:val="Heading2"/>
      </w:pPr>
      <w:r w:rsidRPr="003A2EB4">
        <w:t>Six system s</w:t>
      </w:r>
      <w:r w:rsidR="008A77F2" w:rsidRPr="003A2EB4">
        <w:t>hifts</w:t>
      </w:r>
    </w:p>
    <w:p w14:paraId="690FC3DC" w14:textId="29BEFF30" w:rsidR="008A77F2" w:rsidRPr="003A2EB4" w:rsidRDefault="008A77F2" w:rsidP="008A77F2">
      <w:pPr>
        <w:pStyle w:val="ListParagraph"/>
        <w:numPr>
          <w:ilvl w:val="0"/>
          <w:numId w:val="23"/>
        </w:numPr>
      </w:pPr>
      <w:r w:rsidRPr="003A2EB4">
        <w:t>Shift One (S1): Towards strength</w:t>
      </w:r>
      <w:r w:rsidR="00E54A50" w:rsidRPr="003A2EB4">
        <w:t>-</w:t>
      </w:r>
      <w:r w:rsidRPr="003A2EB4">
        <w:t>based wellbeing</w:t>
      </w:r>
    </w:p>
    <w:p w14:paraId="6850EE4C" w14:textId="1F50B087" w:rsidR="008A77F2" w:rsidRPr="003A2EB4" w:rsidRDefault="008A77F2" w:rsidP="008A77F2">
      <w:pPr>
        <w:pStyle w:val="ListParagraph"/>
        <w:numPr>
          <w:ilvl w:val="0"/>
          <w:numId w:val="23"/>
        </w:numPr>
      </w:pPr>
      <w:r w:rsidRPr="003A2EB4">
        <w:t>Shift Two (S2): Towards mobilising communities</w:t>
      </w:r>
    </w:p>
    <w:p w14:paraId="4A76982F" w14:textId="7590E795" w:rsidR="008A77F2" w:rsidRPr="003A2EB4" w:rsidRDefault="008A77F2" w:rsidP="008A77F2">
      <w:pPr>
        <w:pStyle w:val="ListParagraph"/>
        <w:numPr>
          <w:ilvl w:val="0"/>
          <w:numId w:val="23"/>
        </w:numPr>
      </w:pPr>
      <w:r w:rsidRPr="003A2EB4">
        <w:t>Shift Three (S3): Towards skilled, culturally competent and sustainable workforces</w:t>
      </w:r>
    </w:p>
    <w:p w14:paraId="522F9356" w14:textId="53113657" w:rsidR="008A77F2" w:rsidRPr="003A2EB4" w:rsidRDefault="008A77F2" w:rsidP="008A77F2">
      <w:pPr>
        <w:pStyle w:val="ListParagraph"/>
        <w:numPr>
          <w:ilvl w:val="0"/>
          <w:numId w:val="23"/>
        </w:numPr>
      </w:pPr>
      <w:r w:rsidRPr="003A2EB4">
        <w:t>Shift Four (S4): Towards investment in primary prevention</w:t>
      </w:r>
    </w:p>
    <w:p w14:paraId="634C71C5" w14:textId="2229B625" w:rsidR="008A77F2" w:rsidRPr="003A2EB4" w:rsidRDefault="008A77F2" w:rsidP="008A77F2">
      <w:pPr>
        <w:pStyle w:val="ListParagraph"/>
        <w:numPr>
          <w:ilvl w:val="0"/>
          <w:numId w:val="23"/>
        </w:numPr>
      </w:pPr>
      <w:r w:rsidRPr="003A2EB4">
        <w:t>Shift Five (S5): Towards safe, accessible and integrated responses</w:t>
      </w:r>
    </w:p>
    <w:p w14:paraId="78C902DD" w14:textId="2A693BD9" w:rsidR="008A77F2" w:rsidRPr="003A2EB4" w:rsidRDefault="008A77F2" w:rsidP="008A77F2">
      <w:pPr>
        <w:pStyle w:val="ListParagraph"/>
        <w:numPr>
          <w:ilvl w:val="0"/>
          <w:numId w:val="23"/>
        </w:numPr>
      </w:pPr>
      <w:bookmarkStart w:id="0" w:name="_Hlk184803064"/>
      <w:r w:rsidRPr="003A2EB4">
        <w:t>Shift Six (S6): Towards increased capacity for healing</w:t>
      </w:r>
    </w:p>
    <w:bookmarkEnd w:id="0"/>
    <w:p w14:paraId="26E9F7A0" w14:textId="6BEC2D8A" w:rsidR="00DB2EC6" w:rsidRPr="003A2EB4" w:rsidRDefault="00D5606C" w:rsidP="008A5FA0">
      <w:pPr>
        <w:pStyle w:val="Heading3"/>
      </w:pPr>
      <w:r w:rsidRPr="003A2EB4">
        <w:t>Investing and commissioning well</w:t>
      </w:r>
    </w:p>
    <w:p w14:paraId="036B1BE5" w14:textId="77777777" w:rsidR="009F7B35" w:rsidRPr="003A2EB4" w:rsidRDefault="00DB2EC6" w:rsidP="00DB2EC6">
      <w:r w:rsidRPr="003A2EB4">
        <w:t xml:space="preserve">Investing in what works and meets people’s needs; being strategic about what, where, and how we fund; and stopping things that are not effective. </w:t>
      </w:r>
    </w:p>
    <w:p w14:paraId="0033330E" w14:textId="413ECB1C" w:rsidR="00DB2EC6" w:rsidRPr="003A2EB4" w:rsidRDefault="00D5606C" w:rsidP="00DB2EC6">
      <w:r w:rsidRPr="003A2EB4">
        <w:rPr>
          <w:b/>
          <w:bCs/>
        </w:rPr>
        <w:t>Supports</w:t>
      </w:r>
      <w:r w:rsidR="008435D5" w:rsidRPr="003A2EB4">
        <w:t>:</w:t>
      </w:r>
      <w:r w:rsidRPr="003A2EB4">
        <w:t xml:space="preserve"> </w:t>
      </w:r>
      <w:r w:rsidR="00DB2EC6" w:rsidRPr="003A2EB4">
        <w:t>Shift One (S1): Towards strength-based wellbeing</w:t>
      </w:r>
    </w:p>
    <w:p w14:paraId="5E21CA0C" w14:textId="0A185D86" w:rsidR="009F7B35" w:rsidRPr="003A2EB4" w:rsidRDefault="009D107C" w:rsidP="008A5FA0">
      <w:pPr>
        <w:pStyle w:val="Heading3"/>
      </w:pPr>
      <w:r w:rsidRPr="003A2EB4">
        <w:t>Keeping people safe</w:t>
      </w:r>
    </w:p>
    <w:p w14:paraId="3D610B38" w14:textId="77777777" w:rsidR="009D107C" w:rsidRPr="003A2EB4" w:rsidRDefault="008B1541" w:rsidP="00EF70D0">
      <w:r w:rsidRPr="003A2EB4">
        <w:t xml:space="preserve">Agencies working better together with communities and iwi to keep people safe. </w:t>
      </w:r>
    </w:p>
    <w:p w14:paraId="52B7EB20" w14:textId="77FA809E" w:rsidR="008B1541" w:rsidRPr="003A2EB4" w:rsidRDefault="009D107C" w:rsidP="00EF70D0">
      <w:r w:rsidRPr="003A2EB4">
        <w:rPr>
          <w:b/>
          <w:bCs/>
        </w:rPr>
        <w:t>Supports</w:t>
      </w:r>
      <w:r w:rsidR="003372AC" w:rsidRPr="003A2EB4">
        <w:rPr>
          <w:b/>
          <w:bCs/>
        </w:rPr>
        <w:t>:</w:t>
      </w:r>
      <w:r w:rsidRPr="003A2EB4">
        <w:t xml:space="preserve"> Shift Two (S2): Towards mobilising communities</w:t>
      </w:r>
      <w:r w:rsidR="008B1541" w:rsidRPr="003A2EB4">
        <w:t xml:space="preserve"> | </w:t>
      </w:r>
      <w:r w:rsidRPr="003A2EB4">
        <w:t>Shift Five (S5): Towards safe, accessible and integrated responses</w:t>
      </w:r>
    </w:p>
    <w:p w14:paraId="4118F3C9" w14:textId="44A02E25" w:rsidR="008B1541" w:rsidRPr="003A2EB4" w:rsidRDefault="00052499" w:rsidP="008A5FA0">
      <w:pPr>
        <w:pStyle w:val="Heading3"/>
      </w:pPr>
      <w:r w:rsidRPr="003A2EB4">
        <w:t>Stopping violence</w:t>
      </w:r>
    </w:p>
    <w:p w14:paraId="216D429C" w14:textId="2F22B24D" w:rsidR="00052499" w:rsidRPr="003A2EB4" w:rsidRDefault="00FE1CE7" w:rsidP="00052499">
      <w:r w:rsidRPr="003A2EB4">
        <w:t>Stopping violence; holding people accountable and responsible for their behaviour; and supporting them to change.</w:t>
      </w:r>
    </w:p>
    <w:p w14:paraId="118F7F68" w14:textId="28A3963A" w:rsidR="00FE1CE7" w:rsidRPr="003A2EB4" w:rsidRDefault="00FE1CE7" w:rsidP="00052499">
      <w:r w:rsidRPr="003A2EB4">
        <w:rPr>
          <w:b/>
          <w:bCs/>
        </w:rPr>
        <w:t xml:space="preserve">Supports: </w:t>
      </w:r>
      <w:r w:rsidRPr="003A2EB4">
        <w:t>Shift Five (S5): Towards safe, accessible and integrated responses</w:t>
      </w:r>
    </w:p>
    <w:p w14:paraId="7AF01F38" w14:textId="5074CBA4" w:rsidR="00052499" w:rsidRPr="003A2EB4" w:rsidRDefault="00B1088B" w:rsidP="008A5FA0">
      <w:pPr>
        <w:pStyle w:val="Heading3"/>
      </w:pPr>
      <w:r w:rsidRPr="003A2EB4">
        <w:t>Protecting children and young people</w:t>
      </w:r>
    </w:p>
    <w:p w14:paraId="0420B01D" w14:textId="711AEDCA" w:rsidR="00AD7074" w:rsidRPr="003A2EB4" w:rsidRDefault="00F02D6B" w:rsidP="00AD7074">
      <w:r w:rsidRPr="003A2EB4">
        <w:t>Prevention and effective early intervention to safeguard children and young people.</w:t>
      </w:r>
    </w:p>
    <w:p w14:paraId="6CFCB3C5" w14:textId="42CA7419" w:rsidR="00F02D6B" w:rsidRPr="003A2EB4" w:rsidRDefault="00F02D6B" w:rsidP="00AD7074">
      <w:r w:rsidRPr="003A2EB4">
        <w:rPr>
          <w:b/>
          <w:bCs/>
        </w:rPr>
        <w:t>Supports:</w:t>
      </w:r>
      <w:r w:rsidRPr="003A2EB4">
        <w:t xml:space="preserve"> Shift Four (S4): Towards investment in primary prevention | Shift Five (S5): Towards safe, accessible and integrated responses</w:t>
      </w:r>
    </w:p>
    <w:p w14:paraId="042335B7" w14:textId="77777777" w:rsidR="009D107C" w:rsidRPr="003A2EB4" w:rsidRDefault="009D107C" w:rsidP="008A5FA0">
      <w:pPr>
        <w:pStyle w:val="Heading3"/>
      </w:pPr>
      <w:r w:rsidRPr="003A2EB4">
        <w:t>Strengthening our workforce</w:t>
      </w:r>
    </w:p>
    <w:p w14:paraId="55D052DE" w14:textId="77777777" w:rsidR="009D107C" w:rsidRPr="003A2EB4" w:rsidRDefault="009D107C" w:rsidP="009D107C">
      <w:r w:rsidRPr="003A2EB4">
        <w:t xml:space="preserve">Trained, skilled, and sustainable family violence and sexual violence workforces that can safely recognise, refer and respond to violence. </w:t>
      </w:r>
    </w:p>
    <w:p w14:paraId="340800FD" w14:textId="5CD5E90E" w:rsidR="009D107C" w:rsidRPr="003A2EB4" w:rsidRDefault="009D107C" w:rsidP="009D107C">
      <w:r w:rsidRPr="003A2EB4">
        <w:rPr>
          <w:b/>
          <w:bCs/>
        </w:rPr>
        <w:t>Supports</w:t>
      </w:r>
      <w:r w:rsidR="008435D5" w:rsidRPr="003A2EB4">
        <w:rPr>
          <w:b/>
          <w:bCs/>
        </w:rPr>
        <w:t>:</w:t>
      </w:r>
      <w:r w:rsidRPr="003A2EB4">
        <w:t xml:space="preserve"> Shift Three (S3): Towards skilled, culturally competent and sustainable workforces | Shift Four (S4): Towards investment in primary prevention | Shift Five (S5): Towards safe, accessible and integrated responses</w:t>
      </w:r>
    </w:p>
    <w:p w14:paraId="65869F58" w14:textId="28D2B245" w:rsidR="00B1088B" w:rsidRPr="003A2EB4" w:rsidRDefault="00B1088B" w:rsidP="008A5FA0">
      <w:pPr>
        <w:pStyle w:val="Heading3"/>
      </w:pPr>
      <w:r w:rsidRPr="003A2EB4">
        <w:t xml:space="preserve">Taking action on sexual violence </w:t>
      </w:r>
    </w:p>
    <w:p w14:paraId="4721A6AD" w14:textId="6A7C9B5F" w:rsidR="00B1088B" w:rsidRPr="003A2EB4" w:rsidRDefault="001335B4" w:rsidP="00B1088B">
      <w:r w:rsidRPr="003A2EB4">
        <w:t>Stopping sexual violence from happening; helping those who have been affected; and creating a safe environment for everyone.</w:t>
      </w:r>
    </w:p>
    <w:p w14:paraId="54D324BE" w14:textId="77777777" w:rsidR="001335B4" w:rsidRPr="003A2EB4" w:rsidRDefault="001335B4" w:rsidP="001335B4">
      <w:r w:rsidRPr="003A2EB4">
        <w:rPr>
          <w:b/>
          <w:bCs/>
        </w:rPr>
        <w:lastRenderedPageBreak/>
        <w:t>Supports:</w:t>
      </w:r>
      <w:r w:rsidRPr="003A2EB4">
        <w:t xml:space="preserve"> Shift Five (S5): Towards safe, accessible and integrated responses | Shift Six (S6): Towards increased capacity for healing</w:t>
      </w:r>
    </w:p>
    <w:p w14:paraId="237E8745" w14:textId="2926E95C" w:rsidR="001019D0" w:rsidRPr="003A2EB4" w:rsidRDefault="001019D0" w:rsidP="008A5FA0">
      <w:pPr>
        <w:pStyle w:val="Heading3"/>
      </w:pPr>
      <w:r w:rsidRPr="003A2EB4">
        <w:t>Preventing violence before it starts</w:t>
      </w:r>
    </w:p>
    <w:p w14:paraId="597C6F61" w14:textId="51549801" w:rsidR="001335B4" w:rsidRPr="003A2EB4" w:rsidRDefault="001335B4" w:rsidP="001335B4">
      <w:r w:rsidRPr="003A2EB4">
        <w:t>Increasing understanding about family violence and sexual violence to promote positive behaviour, change social norms, and empower people to recognise and prevent harm. Creating safer communities to lower the risk of violence by strengthening protective factors.</w:t>
      </w:r>
    </w:p>
    <w:p w14:paraId="73E06C61" w14:textId="04B4E4E1" w:rsidR="001335B4" w:rsidRPr="003A2EB4" w:rsidRDefault="001335B4" w:rsidP="001335B4">
      <w:r w:rsidRPr="003A2EB4">
        <w:rPr>
          <w:b/>
          <w:bCs/>
        </w:rPr>
        <w:t>Supports:</w:t>
      </w:r>
      <w:r w:rsidRPr="003A2EB4">
        <w:t xml:space="preserve"> Shift Two (S2): Towards mobilising communities | Shift Four (S4): Towards investment in primary prevention</w:t>
      </w:r>
    </w:p>
    <w:p w14:paraId="06036A7A" w14:textId="77777777" w:rsidR="00220264" w:rsidRDefault="00220264">
      <w:pPr>
        <w:autoSpaceDE/>
        <w:autoSpaceDN/>
        <w:adjustRightInd/>
        <w:spacing w:before="0" w:after="160" w:line="259" w:lineRule="auto"/>
        <w:rPr>
          <w:rFonts w:eastAsia="Times New Roman"/>
          <w:b/>
          <w:color w:val="293D8A"/>
          <w:sz w:val="32"/>
          <w:szCs w:val="32"/>
          <w:lang w:eastAsia="ja-JP"/>
          <w14:ligatures w14:val="none"/>
        </w:rPr>
      </w:pPr>
      <w:r>
        <w:br w:type="page"/>
      </w:r>
    </w:p>
    <w:p w14:paraId="502D1C5E" w14:textId="0AB82C85" w:rsidR="009F7B35" w:rsidRPr="003A2EB4" w:rsidRDefault="008D56EA" w:rsidP="008D56EA">
      <w:pPr>
        <w:pStyle w:val="Heading1"/>
      </w:pPr>
      <w:r w:rsidRPr="003A2EB4">
        <w:lastRenderedPageBreak/>
        <w:t>Appendix 2: Measuring success</w:t>
      </w:r>
    </w:p>
    <w:p w14:paraId="48030241" w14:textId="77777777" w:rsidR="00BB5521" w:rsidRPr="003A2EB4" w:rsidRDefault="00BB5521" w:rsidP="00BB5521">
      <w:r w:rsidRPr="003A2EB4">
        <w:t xml:space="preserve">We need to know we are positively changing the lives of New Zealanders by keeping them safe, and supporting them to live free from violence. </w:t>
      </w:r>
    </w:p>
    <w:p w14:paraId="0CFE278A" w14:textId="77777777" w:rsidR="00BB5521" w:rsidRPr="003A2EB4" w:rsidRDefault="00BB5521" w:rsidP="00BB5521">
      <w:r w:rsidRPr="003A2EB4">
        <w:t xml:space="preserve">By measuring progress and success, government can do more of what works. </w:t>
      </w:r>
    </w:p>
    <w:p w14:paraId="766CA936" w14:textId="367A4D8F" w:rsidR="00BB5521" w:rsidRPr="003A2EB4" w:rsidRDefault="00BB5521" w:rsidP="00BB5521">
      <w:r w:rsidRPr="003A2EB4">
        <w:t>We will do this in three ways: performance indicators, outcomes and milestones.</w:t>
      </w:r>
    </w:p>
    <w:p w14:paraId="4A264609" w14:textId="6A59E521" w:rsidR="00BB5521" w:rsidRPr="003A2EB4" w:rsidRDefault="00BB5521" w:rsidP="00BB5521">
      <w:pPr>
        <w:pStyle w:val="Heading2"/>
      </w:pPr>
      <w:r w:rsidRPr="003A2EB4">
        <w:t xml:space="preserve">Performance indicators </w:t>
      </w:r>
    </w:p>
    <w:p w14:paraId="3E4BB67F" w14:textId="1877E203" w:rsidR="00BB5521" w:rsidRPr="003A2EB4" w:rsidRDefault="00BB5521" w:rsidP="00BB5521">
      <w:r w:rsidRPr="003A2EB4">
        <w:t>We will use indicators to assess how well government is performing. Indicators have been developed for actions in each of the three priority focus areas.</w:t>
      </w:r>
    </w:p>
    <w:p w14:paraId="7AC0DD94" w14:textId="3C1CDAD3" w:rsidR="00BB5521" w:rsidRPr="003A2EB4" w:rsidRDefault="00BB5521" w:rsidP="00BB5521">
      <w:r w:rsidRPr="003A2EB4">
        <w:rPr>
          <w:b/>
          <w:bCs/>
        </w:rPr>
        <w:t xml:space="preserve">Reporting: </w:t>
      </w:r>
      <w:r w:rsidRPr="003A2EB4">
        <w:t>Quarterly</w:t>
      </w:r>
    </w:p>
    <w:p w14:paraId="0753B048" w14:textId="495F2BD5" w:rsidR="001E61C1" w:rsidRPr="003A2EB4" w:rsidRDefault="001E61C1" w:rsidP="001E61C1">
      <w:pPr>
        <w:pStyle w:val="Heading2"/>
      </w:pPr>
      <w:r w:rsidRPr="003A2EB4">
        <w:t xml:space="preserve">Outcomes </w:t>
      </w:r>
    </w:p>
    <w:p w14:paraId="77569FFB" w14:textId="77777777" w:rsidR="001E61C1" w:rsidRPr="003A2EB4" w:rsidRDefault="001E61C1" w:rsidP="00BB5521">
      <w:r w:rsidRPr="003A2EB4">
        <w:t xml:space="preserve">Outcomes help us to understand if the actions are positively changing lives, and reducing violence, revictimisation, and offending. </w:t>
      </w:r>
    </w:p>
    <w:p w14:paraId="4435EA1D" w14:textId="77777777" w:rsidR="001E61C1" w:rsidRPr="003A2EB4" w:rsidRDefault="001E61C1" w:rsidP="00BB5521">
      <w:r w:rsidRPr="003A2EB4">
        <w:t xml:space="preserve">We will use the outcomes, indicators and measures in the Outcomes and Measurement Framework (OMF) to assess our progress in delivering change for people, whānau and families through this plan. This appendix shows which OMF outcomes this plan will contribute towards. </w:t>
      </w:r>
    </w:p>
    <w:p w14:paraId="35C7BCA6" w14:textId="51444C74" w:rsidR="001E61C1" w:rsidRPr="003A2EB4" w:rsidRDefault="001E61C1" w:rsidP="00BB5521">
      <w:r w:rsidRPr="003A2EB4">
        <w:rPr>
          <w:b/>
          <w:bCs/>
        </w:rPr>
        <w:t>Reporting:</w:t>
      </w:r>
      <w:r w:rsidRPr="003A2EB4">
        <w:t xml:space="preserve"> Annually</w:t>
      </w:r>
    </w:p>
    <w:p w14:paraId="338D8554" w14:textId="661661F8" w:rsidR="001E61C1" w:rsidRPr="003A2EB4" w:rsidRDefault="001E61C1" w:rsidP="001E61C1">
      <w:pPr>
        <w:pStyle w:val="Heading2"/>
      </w:pPr>
      <w:r w:rsidRPr="003A2EB4">
        <w:t xml:space="preserve">Milestones </w:t>
      </w:r>
    </w:p>
    <w:p w14:paraId="66D5922B" w14:textId="77777777" w:rsidR="001E61C1" w:rsidRPr="003A2EB4" w:rsidRDefault="001E61C1" w:rsidP="00BB5521">
      <w:r w:rsidRPr="003A2EB4">
        <w:t xml:space="preserve">Milestones help us to remain on track, ensure that we are delivering what we said we would, and by when, to achieve change. </w:t>
      </w:r>
    </w:p>
    <w:p w14:paraId="29A7BFEA" w14:textId="77777777" w:rsidR="001E61C1" w:rsidRPr="003A2EB4" w:rsidRDefault="001E61C1" w:rsidP="00BB5521">
      <w:r w:rsidRPr="003A2EB4">
        <w:t xml:space="preserve">Milestones are set out under each action. A roadmap shows what the government will deliver in the first two years of this plan. </w:t>
      </w:r>
    </w:p>
    <w:p w14:paraId="6E64897C" w14:textId="2A5568F1" w:rsidR="001E61C1" w:rsidRPr="003A2EB4" w:rsidRDefault="001E61C1" w:rsidP="00BB5521">
      <w:r w:rsidRPr="003A2EB4">
        <w:rPr>
          <w:b/>
          <w:bCs/>
        </w:rPr>
        <w:t>Reporting:</w:t>
      </w:r>
      <w:r w:rsidRPr="003A2EB4">
        <w:t xml:space="preserve"> Quarterly</w:t>
      </w:r>
    </w:p>
    <w:p w14:paraId="18071D57" w14:textId="77777777" w:rsidR="00220264" w:rsidRDefault="00220264">
      <w:pPr>
        <w:autoSpaceDE/>
        <w:autoSpaceDN/>
        <w:adjustRightInd/>
        <w:spacing w:before="0" w:after="160" w:line="259" w:lineRule="auto"/>
        <w:rPr>
          <w:rFonts w:eastAsia="Times New Roman"/>
          <w:b/>
          <w:color w:val="293D8A"/>
          <w:sz w:val="32"/>
          <w:szCs w:val="32"/>
          <w:lang w:eastAsia="ja-JP"/>
          <w14:ligatures w14:val="none"/>
        </w:rPr>
      </w:pPr>
      <w:r>
        <w:br w:type="page"/>
      </w:r>
    </w:p>
    <w:p w14:paraId="053B3A19" w14:textId="55F2F8FD" w:rsidR="007B4D2E" w:rsidRPr="003A2EB4" w:rsidRDefault="007B4D2E" w:rsidP="007B4D2E">
      <w:pPr>
        <w:pStyle w:val="Heading1"/>
      </w:pPr>
      <w:r w:rsidRPr="003A2EB4">
        <w:lastRenderedPageBreak/>
        <w:t>Appendix 2: Performance indicators</w:t>
      </w:r>
    </w:p>
    <w:p w14:paraId="29EB65CA" w14:textId="0E185E33" w:rsidR="00B160B2" w:rsidRPr="003A2EB4" w:rsidRDefault="00B160B2" w:rsidP="00B160B2">
      <w:r w:rsidRPr="003A2EB4">
        <w:t>These performance indicators will tell us if actions are making the changes we expect to see. This holds government to account for how it is delivering this plan.</w:t>
      </w:r>
    </w:p>
    <w:p w14:paraId="0556C57F" w14:textId="7F79CA0E" w:rsidR="00B4348C" w:rsidRPr="003A2EB4" w:rsidRDefault="00B4348C" w:rsidP="00B4348C">
      <w:pPr>
        <w:pStyle w:val="Heading2"/>
      </w:pPr>
      <w:r w:rsidRPr="003A2EB4">
        <w:t>Investing and commissioning well</w:t>
      </w:r>
    </w:p>
    <w:p w14:paraId="1762EB95" w14:textId="6D9C716D" w:rsidR="00621C76" w:rsidRPr="003A2EB4" w:rsidRDefault="00594C45" w:rsidP="00B4348C">
      <w:r w:rsidRPr="003A2EB4">
        <w:rPr>
          <w:b/>
          <w:bCs/>
        </w:rPr>
        <w:t>Action:</w:t>
      </w:r>
      <w:r w:rsidR="00B4348C" w:rsidRPr="003A2EB4">
        <w:t xml:space="preserve"> Investment prioritisation</w:t>
      </w:r>
      <w:r w:rsidR="00084E98" w:rsidRPr="003A2EB4">
        <w:br/>
      </w:r>
      <w:r w:rsidRPr="003A2EB4">
        <w:rPr>
          <w:b/>
          <w:bCs/>
        </w:rPr>
        <w:t>Indicator:</w:t>
      </w:r>
      <w:r w:rsidR="00B4348C" w:rsidRPr="003A2EB4">
        <w:t xml:space="preserve"> Number of assessments of effectiveness of initiatives undertaken</w:t>
      </w:r>
      <w:r w:rsidR="00084E98" w:rsidRPr="003A2EB4">
        <w:br/>
      </w:r>
      <w:r w:rsidRPr="003A2EB4">
        <w:rPr>
          <w:b/>
          <w:bCs/>
        </w:rPr>
        <w:t>Data source:</w:t>
      </w:r>
      <w:r w:rsidR="00621C76" w:rsidRPr="003A2EB4">
        <w:t xml:space="preserve"> Social Investment Agency</w:t>
      </w:r>
      <w:r w:rsidR="00084E98" w:rsidRPr="003A2EB4">
        <w:br/>
      </w:r>
      <w:r w:rsidRPr="003A2EB4">
        <w:rPr>
          <w:b/>
          <w:bCs/>
        </w:rPr>
        <w:t>Frequency:</w:t>
      </w:r>
      <w:r w:rsidR="00621C76" w:rsidRPr="003A2EB4">
        <w:t xml:space="preserve"> Annually</w:t>
      </w:r>
    </w:p>
    <w:p w14:paraId="1704B8C0" w14:textId="3E175B0C" w:rsidR="00893518" w:rsidRPr="003A2EB4" w:rsidRDefault="00594C45" w:rsidP="00893518">
      <w:r w:rsidRPr="003A2EB4">
        <w:rPr>
          <w:b/>
          <w:bCs/>
        </w:rPr>
        <w:t>Action:</w:t>
      </w:r>
      <w:r w:rsidR="00A753F9" w:rsidRPr="003A2EB4">
        <w:t xml:space="preserve"> Investment prioritisation</w:t>
      </w:r>
      <w:r w:rsidR="001813DD" w:rsidRPr="003A2EB4">
        <w:br/>
      </w:r>
      <w:r w:rsidRPr="003A2EB4">
        <w:rPr>
          <w:b/>
          <w:bCs/>
        </w:rPr>
        <w:t>Indicator:</w:t>
      </w:r>
      <w:r w:rsidR="00A753F9" w:rsidRPr="003A2EB4">
        <w:t xml:space="preserve"> Number of initiatives with a Level 2 or above score for maturity of Social Investment Approach</w:t>
      </w:r>
      <w:r w:rsidR="001813DD" w:rsidRPr="003A2EB4">
        <w:br/>
      </w:r>
      <w:r w:rsidR="00893518" w:rsidRPr="003A2EB4">
        <w:rPr>
          <w:b/>
          <w:bCs/>
        </w:rPr>
        <w:t>Data source:</w:t>
      </w:r>
      <w:r w:rsidR="00893518" w:rsidRPr="003A2EB4">
        <w:t xml:space="preserve"> Social Investment Agency</w:t>
      </w:r>
      <w:r w:rsidR="00893518" w:rsidRPr="003A2EB4">
        <w:br/>
      </w:r>
      <w:r w:rsidRPr="003A2EB4">
        <w:rPr>
          <w:b/>
          <w:bCs/>
        </w:rPr>
        <w:t>Frequency:</w:t>
      </w:r>
      <w:r w:rsidR="00893518" w:rsidRPr="003A2EB4">
        <w:t xml:space="preserve"> Annually</w:t>
      </w:r>
    </w:p>
    <w:p w14:paraId="38BDB92C" w14:textId="7CCA3724" w:rsidR="00A212C8" w:rsidRPr="003A2EB4" w:rsidRDefault="00594C45" w:rsidP="00A212C8">
      <w:r w:rsidRPr="003A2EB4">
        <w:rPr>
          <w:b/>
          <w:bCs/>
        </w:rPr>
        <w:t>Action:</w:t>
      </w:r>
      <w:r w:rsidR="00A212C8" w:rsidRPr="003A2EB4">
        <w:t xml:space="preserve"> </w:t>
      </w:r>
      <w:r w:rsidR="009E06D7" w:rsidRPr="003A2EB4">
        <w:t>Investment prioritisation</w:t>
      </w:r>
      <w:r w:rsidR="00A212C8" w:rsidRPr="003A2EB4">
        <w:br/>
      </w:r>
      <w:r w:rsidRPr="003A2EB4">
        <w:rPr>
          <w:b/>
          <w:bCs/>
        </w:rPr>
        <w:t>Indicator:</w:t>
      </w:r>
      <w:r w:rsidR="00A212C8" w:rsidRPr="003A2EB4">
        <w:t xml:space="preserve"> </w:t>
      </w:r>
      <w:r w:rsidR="009E06D7" w:rsidRPr="003A2EB4">
        <w:t>Percentage of reinvested spend as a percentage of total spend</w:t>
      </w:r>
      <w:r w:rsidR="00A212C8" w:rsidRPr="003A2EB4">
        <w:br/>
      </w:r>
      <w:r w:rsidRPr="003A2EB4">
        <w:rPr>
          <w:b/>
          <w:bCs/>
        </w:rPr>
        <w:t>Data source:</w:t>
      </w:r>
      <w:r w:rsidR="009E06D7" w:rsidRPr="003A2EB4">
        <w:t xml:space="preserve"> Te Puna Aonui Business Unit</w:t>
      </w:r>
      <w:r w:rsidR="00A212C8" w:rsidRPr="003A2EB4">
        <w:br/>
      </w:r>
      <w:r w:rsidRPr="003A2EB4">
        <w:rPr>
          <w:b/>
          <w:bCs/>
        </w:rPr>
        <w:t>Frequency:</w:t>
      </w:r>
      <w:r w:rsidR="009E06D7" w:rsidRPr="003A2EB4">
        <w:t xml:space="preserve"> Annually</w:t>
      </w:r>
    </w:p>
    <w:p w14:paraId="0B24AE86" w14:textId="77643BA9" w:rsidR="00A212C8" w:rsidRPr="003A2EB4" w:rsidRDefault="00594C45" w:rsidP="00A212C8">
      <w:r w:rsidRPr="003A2EB4">
        <w:rPr>
          <w:b/>
          <w:bCs/>
        </w:rPr>
        <w:t>Action:</w:t>
      </w:r>
      <w:r w:rsidR="00A212C8" w:rsidRPr="003A2EB4">
        <w:t xml:space="preserve"> </w:t>
      </w:r>
      <w:r w:rsidR="009E06D7" w:rsidRPr="003A2EB4">
        <w:t>Investment prioritisation</w:t>
      </w:r>
      <w:r w:rsidR="00A212C8" w:rsidRPr="003A2EB4">
        <w:br/>
      </w:r>
      <w:r w:rsidRPr="003A2EB4">
        <w:rPr>
          <w:b/>
          <w:bCs/>
        </w:rPr>
        <w:t>Indicator:</w:t>
      </w:r>
      <w:r w:rsidR="00A212C8" w:rsidRPr="003A2EB4">
        <w:t xml:space="preserve"> </w:t>
      </w:r>
      <w:r w:rsidR="002403A5" w:rsidRPr="003A2EB4">
        <w:t>Number of new initiatives launched through prioritisation to address known service gaps or system barriers</w:t>
      </w:r>
      <w:r w:rsidR="00A212C8" w:rsidRPr="003A2EB4">
        <w:br/>
      </w:r>
      <w:r w:rsidRPr="003A2EB4">
        <w:rPr>
          <w:b/>
          <w:bCs/>
        </w:rPr>
        <w:t>Data source:</w:t>
      </w:r>
      <w:r w:rsidR="002403A5" w:rsidRPr="003A2EB4">
        <w:t xml:space="preserve"> Social Investment Agency</w:t>
      </w:r>
      <w:r w:rsidR="00A212C8" w:rsidRPr="003A2EB4">
        <w:br/>
      </w:r>
      <w:r w:rsidRPr="003A2EB4">
        <w:rPr>
          <w:b/>
          <w:bCs/>
        </w:rPr>
        <w:t>Frequency:</w:t>
      </w:r>
      <w:r w:rsidR="002403A5" w:rsidRPr="003A2EB4">
        <w:t xml:space="preserve"> Annually</w:t>
      </w:r>
    </w:p>
    <w:p w14:paraId="4DE69BA7" w14:textId="68C04F0E" w:rsidR="00A212C8" w:rsidRPr="003A2EB4" w:rsidRDefault="00594C45" w:rsidP="00A212C8">
      <w:r w:rsidRPr="003A2EB4">
        <w:rPr>
          <w:b/>
          <w:bCs/>
        </w:rPr>
        <w:t>Action:</w:t>
      </w:r>
      <w:r w:rsidR="00A212C8" w:rsidRPr="003A2EB4">
        <w:t xml:space="preserve"> </w:t>
      </w:r>
      <w:r w:rsidR="002403A5" w:rsidRPr="003A2EB4">
        <w:t>Contracting differently for better outcomes</w:t>
      </w:r>
      <w:r w:rsidR="00A212C8" w:rsidRPr="003A2EB4">
        <w:br/>
      </w:r>
      <w:r w:rsidRPr="003A2EB4">
        <w:rPr>
          <w:b/>
          <w:bCs/>
        </w:rPr>
        <w:t>Indicator:</w:t>
      </w:r>
      <w:r w:rsidR="00A212C8" w:rsidRPr="003A2EB4">
        <w:t xml:space="preserve"> </w:t>
      </w:r>
      <w:r w:rsidR="002403A5" w:rsidRPr="003A2EB4">
        <w:t>Number of contract providers with aligned reporting</w:t>
      </w:r>
      <w:r w:rsidR="00A212C8" w:rsidRPr="003A2EB4">
        <w:br/>
      </w:r>
      <w:r w:rsidRPr="003A2EB4">
        <w:rPr>
          <w:b/>
          <w:bCs/>
        </w:rPr>
        <w:t>Data source:</w:t>
      </w:r>
      <w:r w:rsidR="002403A5" w:rsidRPr="003A2EB4">
        <w:t xml:space="preserve"> Ministry of Social Development, Ministry of Justice, Department of Corrections</w:t>
      </w:r>
      <w:r w:rsidR="00A212C8" w:rsidRPr="003A2EB4">
        <w:br/>
      </w:r>
      <w:r w:rsidRPr="003A2EB4">
        <w:rPr>
          <w:b/>
          <w:bCs/>
        </w:rPr>
        <w:t>Frequency:</w:t>
      </w:r>
      <w:r w:rsidR="002403A5" w:rsidRPr="003A2EB4">
        <w:t xml:space="preserve"> Annually</w:t>
      </w:r>
    </w:p>
    <w:p w14:paraId="6CE33FCC" w14:textId="2B3061F0" w:rsidR="00B4348C" w:rsidRPr="003A2EB4" w:rsidRDefault="00B4348C" w:rsidP="0013572C">
      <w:pPr>
        <w:pStyle w:val="Heading2"/>
      </w:pPr>
      <w:r w:rsidRPr="003A2EB4">
        <w:t xml:space="preserve">Keeping people safe </w:t>
      </w:r>
    </w:p>
    <w:p w14:paraId="1A8B6E26" w14:textId="531A586A" w:rsidR="00A212C8" w:rsidRPr="003A2EB4" w:rsidRDefault="00594C45" w:rsidP="00A212C8">
      <w:r w:rsidRPr="003A2EB4">
        <w:rPr>
          <w:b/>
          <w:bCs/>
        </w:rPr>
        <w:t>Action:</w:t>
      </w:r>
      <w:r w:rsidR="00A212C8" w:rsidRPr="003A2EB4">
        <w:t xml:space="preserve"> </w:t>
      </w:r>
      <w:r w:rsidR="002403A5" w:rsidRPr="003A2EB4">
        <w:t>Strong governance, leadership and ways of working</w:t>
      </w:r>
      <w:r w:rsidR="00A212C8" w:rsidRPr="003A2EB4">
        <w:br/>
      </w:r>
      <w:r w:rsidRPr="003A2EB4">
        <w:rPr>
          <w:b/>
          <w:bCs/>
        </w:rPr>
        <w:t>Indicator:</w:t>
      </w:r>
      <w:r w:rsidR="00A212C8" w:rsidRPr="003A2EB4">
        <w:t xml:space="preserve"> </w:t>
      </w:r>
      <w:r w:rsidR="002403A5" w:rsidRPr="003A2EB4">
        <w:t>Number of Local System Improvement Plans developed</w:t>
      </w:r>
      <w:r w:rsidR="00A212C8" w:rsidRPr="003A2EB4">
        <w:br/>
      </w:r>
      <w:r w:rsidRPr="003A2EB4">
        <w:rPr>
          <w:b/>
          <w:bCs/>
        </w:rPr>
        <w:t>Data source:</w:t>
      </w:r>
      <w:r w:rsidR="00505CE5" w:rsidRPr="003A2EB4">
        <w:t xml:space="preserve"> Te Puna Aonui Business Unit</w:t>
      </w:r>
      <w:r w:rsidR="00A212C8" w:rsidRPr="003A2EB4">
        <w:br/>
      </w:r>
      <w:r w:rsidRPr="003A2EB4">
        <w:rPr>
          <w:b/>
          <w:bCs/>
        </w:rPr>
        <w:t>Frequency:</w:t>
      </w:r>
      <w:r w:rsidR="009932FD" w:rsidRPr="003A2EB4">
        <w:t xml:space="preserve"> Quarterly</w:t>
      </w:r>
      <w:r w:rsidR="009932FD" w:rsidRPr="003A2EB4">
        <w:rPr>
          <w:vertAlign w:val="superscript"/>
        </w:rPr>
        <w:footnoteReference w:id="18"/>
      </w:r>
    </w:p>
    <w:p w14:paraId="2C072771" w14:textId="137867BD" w:rsidR="00A212C8" w:rsidRPr="003A2EB4" w:rsidRDefault="00594C45" w:rsidP="00A212C8">
      <w:r w:rsidRPr="003A2EB4">
        <w:rPr>
          <w:b/>
          <w:bCs/>
        </w:rPr>
        <w:t>Action:</w:t>
      </w:r>
      <w:r w:rsidR="00A212C8" w:rsidRPr="003A2EB4">
        <w:t xml:space="preserve"> </w:t>
      </w:r>
      <w:r w:rsidR="002403A5" w:rsidRPr="003A2EB4">
        <w:t>Strong governance, leadership and ways of working</w:t>
      </w:r>
      <w:r w:rsidR="00A212C8" w:rsidRPr="003A2EB4">
        <w:br/>
      </w:r>
      <w:r w:rsidRPr="003A2EB4">
        <w:rPr>
          <w:b/>
          <w:bCs/>
        </w:rPr>
        <w:t>Indicator:</w:t>
      </w:r>
      <w:r w:rsidR="00A212C8" w:rsidRPr="003A2EB4">
        <w:t xml:space="preserve"> </w:t>
      </w:r>
      <w:r w:rsidR="002403A5" w:rsidRPr="003A2EB4">
        <w:t>Number of governance groups with agreed terms of reference, vision, and reporting frameworks</w:t>
      </w:r>
      <w:r w:rsidR="00A212C8" w:rsidRPr="003A2EB4">
        <w:br/>
      </w:r>
      <w:r w:rsidRPr="003A2EB4">
        <w:rPr>
          <w:b/>
          <w:bCs/>
        </w:rPr>
        <w:t>Data source:</w:t>
      </w:r>
      <w:r w:rsidR="00505CE5" w:rsidRPr="003A2EB4">
        <w:t xml:space="preserve"> Te Puna Aonui Business Unit</w:t>
      </w:r>
      <w:r w:rsidR="00A212C8" w:rsidRPr="003A2EB4">
        <w:br/>
      </w:r>
      <w:r w:rsidRPr="003A2EB4">
        <w:rPr>
          <w:b/>
          <w:bCs/>
        </w:rPr>
        <w:t>Frequency:</w:t>
      </w:r>
      <w:r w:rsidR="00505CE5" w:rsidRPr="003A2EB4">
        <w:t xml:space="preserve"> Quarterly</w:t>
      </w:r>
      <w:r w:rsidR="00505CE5" w:rsidRPr="003A2EB4">
        <w:rPr>
          <w:rStyle w:val="FootnoteReference"/>
        </w:rPr>
        <w:footnoteReference w:id="19"/>
      </w:r>
    </w:p>
    <w:p w14:paraId="790A2918" w14:textId="18FDA008" w:rsidR="00A212C8" w:rsidRPr="003A2EB4" w:rsidRDefault="00594C45" w:rsidP="00A212C8">
      <w:r w:rsidRPr="003A2EB4">
        <w:rPr>
          <w:b/>
          <w:bCs/>
        </w:rPr>
        <w:t>Action:</w:t>
      </w:r>
      <w:r w:rsidR="00A212C8" w:rsidRPr="003A2EB4">
        <w:t xml:space="preserve"> </w:t>
      </w:r>
      <w:r w:rsidR="00EA29DF" w:rsidRPr="003A2EB4">
        <w:t>An integrated approach to managing high risk of death and serious injury</w:t>
      </w:r>
      <w:r w:rsidR="00A212C8" w:rsidRPr="003A2EB4">
        <w:br/>
      </w:r>
      <w:r w:rsidRPr="003A2EB4">
        <w:rPr>
          <w:b/>
          <w:bCs/>
        </w:rPr>
        <w:t>Indicator:</w:t>
      </w:r>
      <w:r w:rsidR="00A212C8" w:rsidRPr="003A2EB4">
        <w:t xml:space="preserve"> </w:t>
      </w:r>
      <w:r w:rsidR="00EA29DF" w:rsidRPr="003A2EB4">
        <w:t>Number of plans opened for people who use violence (after referral to a multi-agency response)</w:t>
      </w:r>
      <w:r w:rsidR="00A212C8" w:rsidRPr="003A2EB4">
        <w:br/>
      </w:r>
      <w:r w:rsidRPr="003A2EB4">
        <w:rPr>
          <w:b/>
          <w:bCs/>
        </w:rPr>
        <w:lastRenderedPageBreak/>
        <w:t>Data source:</w:t>
      </w:r>
      <w:r w:rsidR="00505CE5" w:rsidRPr="003A2EB4">
        <w:t xml:space="preserve"> Te Puna Aonui Business Unit</w:t>
      </w:r>
      <w:r w:rsidR="00A212C8" w:rsidRPr="003A2EB4">
        <w:br/>
      </w:r>
      <w:r w:rsidRPr="003A2EB4">
        <w:rPr>
          <w:b/>
          <w:bCs/>
        </w:rPr>
        <w:t>Frequency:</w:t>
      </w:r>
      <w:r w:rsidR="00505CE5" w:rsidRPr="003A2EB4">
        <w:t xml:space="preserve"> Quarterly</w:t>
      </w:r>
      <w:r w:rsidR="00505CE5" w:rsidRPr="003A2EB4">
        <w:rPr>
          <w:vertAlign w:val="superscript"/>
        </w:rPr>
        <w:footnoteReference w:id="20"/>
      </w:r>
    </w:p>
    <w:p w14:paraId="5DF20CB2" w14:textId="4106E750" w:rsidR="00A212C8" w:rsidRPr="003A2EB4" w:rsidRDefault="00594C45" w:rsidP="00A212C8">
      <w:r w:rsidRPr="003A2EB4">
        <w:rPr>
          <w:b/>
          <w:bCs/>
        </w:rPr>
        <w:t>Action:</w:t>
      </w:r>
      <w:r w:rsidR="00A212C8" w:rsidRPr="003A2EB4">
        <w:t xml:space="preserve"> </w:t>
      </w:r>
      <w:r w:rsidR="00716FE4" w:rsidRPr="003A2EB4">
        <w:t>An integrated approach to managing high risk of death and serious injury</w:t>
      </w:r>
      <w:r w:rsidR="00A212C8" w:rsidRPr="003A2EB4">
        <w:br/>
      </w:r>
      <w:r w:rsidRPr="003A2EB4">
        <w:rPr>
          <w:b/>
          <w:bCs/>
        </w:rPr>
        <w:t>Indicator:</w:t>
      </w:r>
      <w:r w:rsidR="00A212C8" w:rsidRPr="003A2EB4">
        <w:t xml:space="preserve"> </w:t>
      </w:r>
      <w:r w:rsidR="00716FE4" w:rsidRPr="003A2EB4">
        <w:t>Number of plans opened for people experiencing violence (after a referral to a multi-agency response)</w:t>
      </w:r>
      <w:r w:rsidR="00A212C8" w:rsidRPr="003A2EB4">
        <w:br/>
      </w:r>
      <w:r w:rsidRPr="003A2EB4">
        <w:rPr>
          <w:b/>
          <w:bCs/>
        </w:rPr>
        <w:t>Data source:</w:t>
      </w:r>
      <w:r w:rsidR="00505CE5" w:rsidRPr="003A2EB4">
        <w:t xml:space="preserve"> Te Puna Aonui Business Unit</w:t>
      </w:r>
      <w:r w:rsidR="00A212C8" w:rsidRPr="003A2EB4">
        <w:br/>
      </w:r>
      <w:r w:rsidRPr="003A2EB4">
        <w:rPr>
          <w:b/>
          <w:bCs/>
        </w:rPr>
        <w:t>Frequency:</w:t>
      </w:r>
      <w:r w:rsidR="00505CE5" w:rsidRPr="003A2EB4">
        <w:t xml:space="preserve"> Quarterly</w:t>
      </w:r>
      <w:r w:rsidR="00505CE5" w:rsidRPr="003A2EB4">
        <w:rPr>
          <w:vertAlign w:val="superscript"/>
        </w:rPr>
        <w:footnoteReference w:id="21"/>
      </w:r>
    </w:p>
    <w:p w14:paraId="4665E05B" w14:textId="21C1BA2C" w:rsidR="00A212C8" w:rsidRPr="003A2EB4" w:rsidRDefault="00594C45" w:rsidP="00A212C8">
      <w:r w:rsidRPr="003A2EB4">
        <w:rPr>
          <w:b/>
          <w:bCs/>
        </w:rPr>
        <w:t>Action:</w:t>
      </w:r>
      <w:r w:rsidR="00A212C8" w:rsidRPr="003A2EB4">
        <w:t xml:space="preserve"> </w:t>
      </w:r>
      <w:r w:rsidR="00716FE4" w:rsidRPr="003A2EB4">
        <w:t>An integrated approach to managing high risk of death and serious injury</w:t>
      </w:r>
      <w:r w:rsidR="00A212C8" w:rsidRPr="003A2EB4">
        <w:br/>
      </w:r>
      <w:r w:rsidRPr="003A2EB4">
        <w:rPr>
          <w:b/>
          <w:bCs/>
        </w:rPr>
        <w:t>Indicator:</w:t>
      </w:r>
      <w:r w:rsidR="00A212C8" w:rsidRPr="003A2EB4">
        <w:t xml:space="preserve"> </w:t>
      </w:r>
      <w:r w:rsidR="00716FE4" w:rsidRPr="003A2EB4">
        <w:t>Number of families previously referred that are referred again</w:t>
      </w:r>
      <w:r w:rsidR="00A212C8" w:rsidRPr="003A2EB4">
        <w:br/>
      </w:r>
      <w:r w:rsidRPr="003A2EB4">
        <w:rPr>
          <w:b/>
          <w:bCs/>
        </w:rPr>
        <w:t>Data source:</w:t>
      </w:r>
      <w:r w:rsidR="00716FE4" w:rsidRPr="003A2EB4">
        <w:t xml:space="preserve"> Te Puna Aonui Business Unit</w:t>
      </w:r>
      <w:r w:rsidR="00A212C8" w:rsidRPr="003A2EB4">
        <w:br/>
      </w:r>
      <w:r w:rsidRPr="003A2EB4">
        <w:rPr>
          <w:b/>
          <w:bCs/>
        </w:rPr>
        <w:t>Frequency:</w:t>
      </w:r>
      <w:r w:rsidR="00505CE5" w:rsidRPr="003A2EB4">
        <w:t xml:space="preserve"> Quarterly</w:t>
      </w:r>
      <w:r w:rsidR="00505CE5" w:rsidRPr="003A2EB4">
        <w:rPr>
          <w:vertAlign w:val="superscript"/>
        </w:rPr>
        <w:footnoteReference w:id="22"/>
      </w:r>
    </w:p>
    <w:p w14:paraId="1E86BEA7" w14:textId="1D3997D3" w:rsidR="00A212C8" w:rsidRPr="003A2EB4" w:rsidRDefault="00594C45" w:rsidP="00A212C8">
      <w:r w:rsidRPr="003A2EB4">
        <w:rPr>
          <w:b/>
          <w:bCs/>
        </w:rPr>
        <w:t>Action:</w:t>
      </w:r>
      <w:r w:rsidR="00A212C8" w:rsidRPr="003A2EB4">
        <w:t xml:space="preserve"> </w:t>
      </w:r>
      <w:r w:rsidR="00082290" w:rsidRPr="003A2EB4">
        <w:t>An integrated approach to managing high risk of death and serious injury</w:t>
      </w:r>
      <w:r w:rsidR="00A212C8" w:rsidRPr="003A2EB4">
        <w:br/>
      </w:r>
      <w:r w:rsidRPr="003A2EB4">
        <w:rPr>
          <w:b/>
          <w:bCs/>
        </w:rPr>
        <w:t>Indicator:</w:t>
      </w:r>
      <w:r w:rsidR="00A212C8" w:rsidRPr="003A2EB4">
        <w:t xml:space="preserve"> </w:t>
      </w:r>
      <w:r w:rsidR="00082290" w:rsidRPr="003A2EB4">
        <w:t>Percentage of victims who report feeling safer 12 weeks after a safety plan is initiated</w:t>
      </w:r>
      <w:r w:rsidR="00A212C8" w:rsidRPr="003A2EB4">
        <w:br/>
      </w:r>
      <w:r w:rsidRPr="003A2EB4">
        <w:rPr>
          <w:b/>
          <w:bCs/>
        </w:rPr>
        <w:t>Data source:</w:t>
      </w:r>
      <w:r w:rsidR="00716FE4" w:rsidRPr="003A2EB4">
        <w:t xml:space="preserve"> Te Puna Aonui Business Unit</w:t>
      </w:r>
      <w:r w:rsidR="00A212C8" w:rsidRPr="003A2EB4">
        <w:br/>
      </w:r>
      <w:r w:rsidRPr="003A2EB4">
        <w:rPr>
          <w:b/>
          <w:bCs/>
        </w:rPr>
        <w:t>Frequency:</w:t>
      </w:r>
      <w:r w:rsidR="00505CE5" w:rsidRPr="003A2EB4">
        <w:t xml:space="preserve"> Quarterly</w:t>
      </w:r>
      <w:r w:rsidR="00505CE5" w:rsidRPr="003A2EB4">
        <w:rPr>
          <w:vertAlign w:val="superscript"/>
        </w:rPr>
        <w:footnoteReference w:id="23"/>
      </w:r>
    </w:p>
    <w:p w14:paraId="7A25EDBB" w14:textId="2F99AAAF" w:rsidR="00A212C8" w:rsidRPr="003A2EB4" w:rsidRDefault="00594C45" w:rsidP="00A212C8">
      <w:r w:rsidRPr="003A2EB4">
        <w:rPr>
          <w:b/>
          <w:bCs/>
        </w:rPr>
        <w:t>Action:</w:t>
      </w:r>
      <w:r w:rsidR="00A212C8" w:rsidRPr="003A2EB4">
        <w:t xml:space="preserve"> </w:t>
      </w:r>
      <w:r w:rsidR="00C80CAE" w:rsidRPr="003A2EB4">
        <w:t>Consistent approach to risk</w:t>
      </w:r>
      <w:r w:rsidR="00A212C8" w:rsidRPr="003A2EB4">
        <w:br/>
      </w:r>
      <w:r w:rsidRPr="003A2EB4">
        <w:rPr>
          <w:b/>
          <w:bCs/>
        </w:rPr>
        <w:t>Indicator:</w:t>
      </w:r>
      <w:r w:rsidR="00A212C8" w:rsidRPr="003A2EB4">
        <w:t xml:space="preserve"> </w:t>
      </w:r>
      <w:r w:rsidR="00C80CAE" w:rsidRPr="003A2EB4">
        <w:t>Number of organisations that have adopted Family Violence Risk and Safety Practice Framework</w:t>
      </w:r>
      <w:r w:rsidR="00A212C8" w:rsidRPr="003A2EB4">
        <w:br/>
      </w:r>
      <w:r w:rsidRPr="003A2EB4">
        <w:rPr>
          <w:b/>
          <w:bCs/>
        </w:rPr>
        <w:t>Data source:</w:t>
      </w:r>
      <w:r w:rsidR="00C80CAE" w:rsidRPr="003A2EB4">
        <w:t xml:space="preserve"> Te Puna Aonui Business Unit</w:t>
      </w:r>
      <w:r w:rsidR="00A212C8" w:rsidRPr="003A2EB4">
        <w:br/>
      </w:r>
      <w:r w:rsidRPr="003A2EB4">
        <w:rPr>
          <w:b/>
          <w:bCs/>
        </w:rPr>
        <w:t>Frequency:</w:t>
      </w:r>
      <w:r w:rsidR="001E3342" w:rsidRPr="003A2EB4">
        <w:t xml:space="preserve"> </w:t>
      </w:r>
      <w:r w:rsidR="00C80CAE" w:rsidRPr="003A2EB4">
        <w:t>Annually</w:t>
      </w:r>
    </w:p>
    <w:p w14:paraId="36F2A68A" w14:textId="6184B6E8" w:rsidR="00A212C8" w:rsidRPr="003A2EB4" w:rsidRDefault="00594C45" w:rsidP="00A212C8">
      <w:r w:rsidRPr="003A2EB4">
        <w:rPr>
          <w:b/>
          <w:bCs/>
        </w:rPr>
        <w:t>Action:</w:t>
      </w:r>
      <w:r w:rsidR="00A212C8" w:rsidRPr="003A2EB4">
        <w:t xml:space="preserve"> </w:t>
      </w:r>
      <w:r w:rsidR="00217FC2" w:rsidRPr="003A2EB4">
        <w:t>Improving information sharing systems</w:t>
      </w:r>
      <w:r w:rsidR="00A212C8" w:rsidRPr="003A2EB4">
        <w:br/>
      </w:r>
      <w:r w:rsidR="00A212C8" w:rsidRPr="003A2EB4">
        <w:rPr>
          <w:b/>
          <w:bCs/>
        </w:rPr>
        <w:t xml:space="preserve">Indicator: </w:t>
      </w:r>
      <w:r w:rsidR="00217FC2" w:rsidRPr="003A2EB4">
        <w:t>Number of agencies and organisations that endorse the operating model for Project Whetū</w:t>
      </w:r>
      <w:r w:rsidR="00A212C8" w:rsidRPr="003A2EB4">
        <w:br/>
      </w:r>
      <w:r w:rsidR="00A212C8" w:rsidRPr="003A2EB4">
        <w:rPr>
          <w:b/>
          <w:bCs/>
        </w:rPr>
        <w:t>Data source:</w:t>
      </w:r>
      <w:r w:rsidR="00217FC2" w:rsidRPr="003A2EB4">
        <w:t xml:space="preserve"> Te Puna Aonui Business Uni</w:t>
      </w:r>
      <w:r w:rsidR="00A212C8" w:rsidRPr="003A2EB4">
        <w:br/>
      </w:r>
      <w:r w:rsidR="00A212C8" w:rsidRPr="003A2EB4">
        <w:rPr>
          <w:b/>
          <w:bCs/>
        </w:rPr>
        <w:t>Frequency:</w:t>
      </w:r>
      <w:r w:rsidR="00217FC2" w:rsidRPr="003A2EB4">
        <w:t xml:space="preserve"> Annually</w:t>
      </w:r>
    </w:p>
    <w:p w14:paraId="4B12A593" w14:textId="32D2D88A" w:rsidR="00A212C8" w:rsidRPr="003A2EB4" w:rsidRDefault="00A212C8" w:rsidP="00A212C8">
      <w:r w:rsidRPr="003A2EB4">
        <w:rPr>
          <w:b/>
          <w:bCs/>
        </w:rPr>
        <w:t>Action:</w:t>
      </w:r>
      <w:r w:rsidRPr="003A2EB4">
        <w:t xml:space="preserve"> </w:t>
      </w:r>
      <w:r w:rsidR="009E240F" w:rsidRPr="003A2EB4">
        <w:t>Joined-up approaches to children and young people</w:t>
      </w:r>
      <w:r w:rsidRPr="003A2EB4">
        <w:br/>
      </w:r>
      <w:r w:rsidRPr="003A2EB4">
        <w:rPr>
          <w:b/>
          <w:bCs/>
        </w:rPr>
        <w:t>Indicator:</w:t>
      </w:r>
      <w:r w:rsidRPr="003A2EB4">
        <w:t xml:space="preserve"> </w:t>
      </w:r>
      <w:r w:rsidR="009E240F" w:rsidRPr="003A2EB4">
        <w:t xml:space="preserve">Indicators aligning multi-agency and youth offending will </w:t>
      </w:r>
      <w:r w:rsidR="00F847C6" w:rsidRPr="003A2EB4">
        <w:t xml:space="preserve">be </w:t>
      </w:r>
      <w:r w:rsidR="009E240F" w:rsidRPr="003A2EB4">
        <w:t>developed as part of the planning for this activity</w:t>
      </w:r>
      <w:r w:rsidRPr="003A2EB4">
        <w:br/>
      </w:r>
      <w:r w:rsidRPr="003A2EB4">
        <w:rPr>
          <w:b/>
          <w:bCs/>
        </w:rPr>
        <w:t>Data source:</w:t>
      </w:r>
      <w:r w:rsidR="009E240F" w:rsidRPr="003A2EB4">
        <w:t xml:space="preserve"> TBC</w:t>
      </w:r>
      <w:r w:rsidRPr="003A2EB4">
        <w:br/>
      </w:r>
      <w:r w:rsidRPr="003A2EB4">
        <w:rPr>
          <w:b/>
          <w:bCs/>
        </w:rPr>
        <w:t>Frequency:</w:t>
      </w:r>
      <w:r w:rsidR="009E240F" w:rsidRPr="003A2EB4">
        <w:rPr>
          <w:b/>
          <w:bCs/>
        </w:rPr>
        <w:t xml:space="preserve"> </w:t>
      </w:r>
      <w:r w:rsidR="009E240F" w:rsidRPr="003A2EB4">
        <w:t>TBC</w:t>
      </w:r>
    </w:p>
    <w:p w14:paraId="6B400888" w14:textId="5BECB70C" w:rsidR="00A212C8" w:rsidRPr="003A2EB4" w:rsidRDefault="00A212C8" w:rsidP="00A212C8">
      <w:r w:rsidRPr="003A2EB4">
        <w:rPr>
          <w:b/>
          <w:bCs/>
        </w:rPr>
        <w:t xml:space="preserve">Action: </w:t>
      </w:r>
      <w:r w:rsidR="00F847C6" w:rsidRPr="003A2EB4">
        <w:t>Joined-up approaches to children and young people</w:t>
      </w:r>
      <w:r w:rsidRPr="003A2EB4">
        <w:br/>
      </w:r>
      <w:r w:rsidRPr="003A2EB4">
        <w:rPr>
          <w:b/>
          <w:bCs/>
        </w:rPr>
        <w:t>Indicator:</w:t>
      </w:r>
      <w:r w:rsidRPr="003A2EB4">
        <w:t xml:space="preserve"> </w:t>
      </w:r>
      <w:r w:rsidR="00F847C6" w:rsidRPr="003A2EB4">
        <w:t>Percentage of children who are referred to a multi-agency response who have previous flags for being a victim of family violence</w:t>
      </w:r>
      <w:r w:rsidRPr="003A2EB4">
        <w:br/>
      </w:r>
      <w:r w:rsidRPr="003A2EB4">
        <w:rPr>
          <w:b/>
          <w:bCs/>
        </w:rPr>
        <w:t>Data source:</w:t>
      </w:r>
      <w:r w:rsidR="00ED6B58" w:rsidRPr="003A2EB4">
        <w:rPr>
          <w:b/>
          <w:bCs/>
        </w:rPr>
        <w:t xml:space="preserve"> </w:t>
      </w:r>
      <w:r w:rsidR="00ED6B58" w:rsidRPr="003A2EB4">
        <w:t>NZ Police</w:t>
      </w:r>
      <w:r w:rsidRPr="003A2EB4">
        <w:br/>
      </w:r>
      <w:r w:rsidRPr="003A2EB4">
        <w:rPr>
          <w:b/>
          <w:bCs/>
        </w:rPr>
        <w:t>Frequency:</w:t>
      </w:r>
      <w:r w:rsidR="00ED6B58" w:rsidRPr="003A2EB4">
        <w:t xml:space="preserve"> Quarterly</w:t>
      </w:r>
    </w:p>
    <w:p w14:paraId="65136AD2" w14:textId="77777777" w:rsidR="00B4348C" w:rsidRPr="003A2EB4" w:rsidRDefault="00B4348C" w:rsidP="00B4348C">
      <w:pPr>
        <w:pStyle w:val="Heading2"/>
      </w:pPr>
      <w:r w:rsidRPr="003A2EB4">
        <w:t>Stopping violence</w:t>
      </w:r>
    </w:p>
    <w:p w14:paraId="188C0C98" w14:textId="108F3B74" w:rsidR="00A212C8" w:rsidRPr="003A2EB4" w:rsidRDefault="00A212C8" w:rsidP="00A212C8">
      <w:r w:rsidRPr="003A2EB4">
        <w:rPr>
          <w:b/>
          <w:bCs/>
        </w:rPr>
        <w:t>Action:</w:t>
      </w:r>
      <w:r w:rsidRPr="003A2EB4">
        <w:t xml:space="preserve"> </w:t>
      </w:r>
      <w:r w:rsidR="00635945" w:rsidRPr="003A2EB4">
        <w:t>Provide the right interventions and services</w:t>
      </w:r>
      <w:r w:rsidRPr="003A2EB4">
        <w:br/>
      </w:r>
      <w:r w:rsidRPr="003A2EB4">
        <w:rPr>
          <w:b/>
          <w:bCs/>
        </w:rPr>
        <w:t>Indicator:</w:t>
      </w:r>
      <w:r w:rsidRPr="003A2EB4">
        <w:t xml:space="preserve"> </w:t>
      </w:r>
      <w:r w:rsidR="00635945" w:rsidRPr="003A2EB4">
        <w:t xml:space="preserve">Number of Te Huringa ō </w:t>
      </w:r>
      <w:r w:rsidR="00BE7AED" w:rsidRPr="003A2EB4">
        <w:t>T</w:t>
      </w:r>
      <w:r w:rsidR="00635945" w:rsidRPr="003A2EB4">
        <w:t>e Ao providers contracted</w:t>
      </w:r>
      <w:r w:rsidRPr="003A2EB4">
        <w:br/>
      </w:r>
      <w:r w:rsidRPr="003A2EB4">
        <w:rPr>
          <w:b/>
          <w:bCs/>
        </w:rPr>
        <w:lastRenderedPageBreak/>
        <w:t>Data source:</w:t>
      </w:r>
      <w:r w:rsidR="00635945" w:rsidRPr="003A2EB4">
        <w:rPr>
          <w:b/>
          <w:bCs/>
        </w:rPr>
        <w:t xml:space="preserve"> </w:t>
      </w:r>
      <w:r w:rsidR="00635945" w:rsidRPr="003A2EB4">
        <w:t>Ministry of Social Development</w:t>
      </w:r>
      <w:r w:rsidRPr="003A2EB4">
        <w:br/>
      </w:r>
      <w:r w:rsidRPr="003A2EB4">
        <w:rPr>
          <w:b/>
          <w:bCs/>
        </w:rPr>
        <w:t>Frequency:</w:t>
      </w:r>
      <w:r w:rsidR="00560DFD" w:rsidRPr="003A2EB4">
        <w:t xml:space="preserve"> Quarterly</w:t>
      </w:r>
    </w:p>
    <w:p w14:paraId="0D5877B0" w14:textId="2ECFF76B" w:rsidR="00A212C8" w:rsidRPr="003A2EB4" w:rsidRDefault="00A212C8" w:rsidP="00A212C8">
      <w:r w:rsidRPr="003A2EB4">
        <w:rPr>
          <w:b/>
          <w:bCs/>
        </w:rPr>
        <w:t>Action:</w:t>
      </w:r>
      <w:r w:rsidRPr="003A2EB4">
        <w:t xml:space="preserve"> </w:t>
      </w:r>
      <w:r w:rsidR="00635945" w:rsidRPr="003A2EB4">
        <w:t>Provide the right interventions and services</w:t>
      </w:r>
      <w:r w:rsidRPr="003A2EB4">
        <w:br/>
      </w:r>
      <w:r w:rsidRPr="003A2EB4">
        <w:rPr>
          <w:b/>
          <w:bCs/>
        </w:rPr>
        <w:t>Indicator:</w:t>
      </w:r>
      <w:r w:rsidRPr="003A2EB4">
        <w:t xml:space="preserve"> </w:t>
      </w:r>
      <w:r w:rsidR="00635945" w:rsidRPr="003A2EB4">
        <w:t>Number of service concepts signed off and services being delivered</w:t>
      </w:r>
      <w:r w:rsidRPr="003A2EB4">
        <w:br/>
      </w:r>
      <w:r w:rsidRPr="003A2EB4">
        <w:rPr>
          <w:b/>
          <w:bCs/>
        </w:rPr>
        <w:t>Data source:</w:t>
      </w:r>
      <w:r w:rsidR="00635945" w:rsidRPr="003A2EB4">
        <w:t xml:space="preserve"> Ministry of Social Development</w:t>
      </w:r>
      <w:r w:rsidRPr="003A2EB4">
        <w:br/>
      </w:r>
      <w:r w:rsidRPr="003A2EB4">
        <w:rPr>
          <w:b/>
          <w:bCs/>
        </w:rPr>
        <w:t>Frequency:</w:t>
      </w:r>
      <w:r w:rsidR="00560DFD" w:rsidRPr="003A2EB4">
        <w:t xml:space="preserve"> Quarterly</w:t>
      </w:r>
    </w:p>
    <w:p w14:paraId="540B7DFE" w14:textId="69D9FD25" w:rsidR="00A212C8" w:rsidRPr="003A2EB4" w:rsidRDefault="00A212C8" w:rsidP="00A212C8">
      <w:r w:rsidRPr="003A2EB4">
        <w:rPr>
          <w:b/>
          <w:bCs/>
        </w:rPr>
        <w:t xml:space="preserve">Action: </w:t>
      </w:r>
      <w:r w:rsidR="00635945" w:rsidRPr="003A2EB4">
        <w:t>Provide the right interventions and services</w:t>
      </w:r>
      <w:r w:rsidRPr="003A2EB4">
        <w:br/>
      </w:r>
      <w:r w:rsidRPr="003A2EB4">
        <w:rPr>
          <w:b/>
          <w:bCs/>
        </w:rPr>
        <w:t>Indicator:</w:t>
      </w:r>
      <w:r w:rsidRPr="003A2EB4">
        <w:t xml:space="preserve"> </w:t>
      </w:r>
      <w:r w:rsidR="00635945" w:rsidRPr="003A2EB4">
        <w:t>Number of additional victims/survivors receiving safety programmes in the criminal court</w:t>
      </w:r>
      <w:r w:rsidRPr="003A2EB4">
        <w:br/>
      </w:r>
      <w:r w:rsidRPr="003A2EB4">
        <w:rPr>
          <w:b/>
          <w:bCs/>
        </w:rPr>
        <w:t>Data source:</w:t>
      </w:r>
      <w:r w:rsidR="00635945" w:rsidRPr="003A2EB4">
        <w:t xml:space="preserve"> Ministry of Justice</w:t>
      </w:r>
      <w:r w:rsidRPr="003A2EB4">
        <w:br/>
      </w:r>
      <w:r w:rsidRPr="003A2EB4">
        <w:rPr>
          <w:b/>
          <w:bCs/>
        </w:rPr>
        <w:t>Frequency:</w:t>
      </w:r>
      <w:r w:rsidR="00560DFD" w:rsidRPr="003A2EB4">
        <w:t xml:space="preserve"> Quarterly</w:t>
      </w:r>
    </w:p>
    <w:p w14:paraId="644279E6" w14:textId="77777777" w:rsidR="00220264" w:rsidRDefault="00220264">
      <w:pPr>
        <w:autoSpaceDE/>
        <w:autoSpaceDN/>
        <w:adjustRightInd/>
        <w:spacing w:before="0" w:after="160" w:line="259" w:lineRule="auto"/>
        <w:rPr>
          <w:rFonts w:eastAsia="Times New Roman"/>
          <w:b/>
          <w:color w:val="293D8A"/>
          <w:sz w:val="32"/>
          <w:szCs w:val="32"/>
          <w:lang w:eastAsia="ja-JP"/>
          <w14:ligatures w14:val="none"/>
        </w:rPr>
      </w:pPr>
      <w:r>
        <w:br w:type="page"/>
      </w:r>
    </w:p>
    <w:p w14:paraId="72DB5C45" w14:textId="79B8022E" w:rsidR="00B160B2" w:rsidRPr="003A2EB4" w:rsidRDefault="008B136F" w:rsidP="008B136F">
      <w:pPr>
        <w:pStyle w:val="Heading1"/>
      </w:pPr>
      <w:r w:rsidRPr="003A2EB4">
        <w:lastRenderedPageBreak/>
        <w:t xml:space="preserve">Appendix 2: </w:t>
      </w:r>
      <w:r w:rsidR="006E2C48" w:rsidRPr="003A2EB4">
        <w:t>A</w:t>
      </w:r>
      <w:r w:rsidRPr="003A2EB4">
        <w:t>chieving outcomes</w:t>
      </w:r>
    </w:p>
    <w:p w14:paraId="4F157EAB" w14:textId="15BA40A3" w:rsidR="006E2C48" w:rsidRPr="003A2EB4" w:rsidRDefault="006E2C48" w:rsidP="006E2C48">
      <w:r w:rsidRPr="003A2EB4">
        <w:t>We will use the Outcomes and Measurement Framework to measure how we are supporting people to live free from violence.</w:t>
      </w:r>
    </w:p>
    <w:p w14:paraId="72233F15" w14:textId="77777777" w:rsidR="006C5D76" w:rsidRPr="003A2EB4" w:rsidRDefault="006E2C48" w:rsidP="006C5D76">
      <w:pPr>
        <w:pStyle w:val="Heading2"/>
      </w:pPr>
      <w:r w:rsidRPr="003A2EB4">
        <w:t xml:space="preserve">Measuring success through the Outcomes and Measurement Framework </w:t>
      </w:r>
    </w:p>
    <w:p w14:paraId="3986A708" w14:textId="50CA0B60" w:rsidR="006E2C48" w:rsidRPr="003A2EB4" w:rsidRDefault="006E2C48" w:rsidP="006E2C48">
      <w:r w:rsidRPr="003A2EB4">
        <w:t xml:space="preserve">In 2023, an Outcomes and Measurement Framework (OMF) was established for Te Aorerekura. </w:t>
      </w:r>
    </w:p>
    <w:p w14:paraId="32D92302" w14:textId="64CFF8A8" w:rsidR="006E2C48" w:rsidRPr="003A2EB4" w:rsidRDefault="006E2C48" w:rsidP="006E2C48">
      <w:r w:rsidRPr="003A2EB4">
        <w:t xml:space="preserve">The </w:t>
      </w:r>
      <w:r w:rsidR="0049780C" w:rsidRPr="003A2EB4">
        <w:t>OMF</w:t>
      </w:r>
      <w:r w:rsidRPr="003A2EB4">
        <w:t xml:space="preserve"> is one of the integral ways that progress of the Action Plan will be measured. The OMF sets out two levels of outcomes that are the intended results of implementing Te Aorerekura. </w:t>
      </w:r>
    </w:p>
    <w:p w14:paraId="37D2F886" w14:textId="1C9791E5" w:rsidR="006E2C48" w:rsidRPr="003A2EB4" w:rsidRDefault="006E2C48" w:rsidP="006E2C48">
      <w:pPr>
        <w:pStyle w:val="ListParagraph"/>
        <w:numPr>
          <w:ilvl w:val="0"/>
          <w:numId w:val="34"/>
        </w:numPr>
      </w:pPr>
      <w:r w:rsidRPr="003A2EB4">
        <w:t xml:space="preserve">Longer-term outcomes are the 25- year results that we want to see for people, families and whānau, and system transformation. These are high-level and express the overarching intent of each shift. </w:t>
      </w:r>
    </w:p>
    <w:p w14:paraId="2A0406DF" w14:textId="4BB6C8F8" w:rsidR="006E2C48" w:rsidRPr="003A2EB4" w:rsidRDefault="006E2C48" w:rsidP="006E2C48">
      <w:pPr>
        <w:pStyle w:val="ListParagraph"/>
        <w:numPr>
          <w:ilvl w:val="0"/>
          <w:numId w:val="34"/>
        </w:numPr>
        <w:rPr>
          <w:lang w:eastAsia="ja-JP"/>
        </w:rPr>
      </w:pPr>
      <w:r w:rsidRPr="003A2EB4">
        <w:t>Short-term outcomes specify what we will see over time as we progress towards the longer-term outcomes. These describe in simple language what success looks like.</w:t>
      </w:r>
    </w:p>
    <w:p w14:paraId="14C6E8E3" w14:textId="77777777" w:rsidR="0019515E" w:rsidRPr="003A2EB4" w:rsidRDefault="0019515E" w:rsidP="0019515E">
      <w:pPr>
        <w:pStyle w:val="Heading2"/>
      </w:pPr>
      <w:r w:rsidRPr="003A2EB4">
        <w:t xml:space="preserve">Annual reporting </w:t>
      </w:r>
    </w:p>
    <w:p w14:paraId="2DEB84FC" w14:textId="594059EE" w:rsidR="0019515E" w:rsidRPr="003A2EB4" w:rsidRDefault="0019515E" w:rsidP="0019515E">
      <w:r w:rsidRPr="003A2EB4">
        <w:t>In addition to quarterly performance reporting, Te Puna Aonui will report annually on the intended short-term outcomes of Te Aorerekura, with a focus on outcomes that the Action Plan is likely to deliver.</w:t>
      </w:r>
    </w:p>
    <w:p w14:paraId="5282A701" w14:textId="75C2F3F0" w:rsidR="0019515E" w:rsidRPr="003A2EB4" w:rsidRDefault="0019515E" w:rsidP="0019515E">
      <w:r w:rsidRPr="003A2EB4">
        <w:t>Providing measures of progress against the work programme (before expected outcomes) will be important for providing stakeholders with assurance that the work is creating value and will lead to positive impact for people whose lives are impacted violence, communities and New Zealanders.</w:t>
      </w:r>
    </w:p>
    <w:p w14:paraId="62DA5590" w14:textId="77777777" w:rsidR="00BB5620" w:rsidRPr="003A2EB4" w:rsidRDefault="00BB5620" w:rsidP="00BB5620">
      <w:pPr>
        <w:pStyle w:val="Heading2"/>
      </w:pPr>
      <w:r w:rsidRPr="003A2EB4">
        <w:t xml:space="preserve">Impact on diverse population groups </w:t>
      </w:r>
    </w:p>
    <w:p w14:paraId="1ED0BF20" w14:textId="77777777" w:rsidR="00BB5620" w:rsidRPr="003A2EB4" w:rsidRDefault="00BB5620" w:rsidP="0019515E">
      <w:r w:rsidRPr="003A2EB4">
        <w:t xml:space="preserve">Data and insights will need to reflect the experience and priorities of different people, communities and population groups. </w:t>
      </w:r>
    </w:p>
    <w:p w14:paraId="643C79AD" w14:textId="06950AEC" w:rsidR="00BB5620" w:rsidRPr="003A2EB4" w:rsidRDefault="00BB5620" w:rsidP="0019515E">
      <w:r w:rsidRPr="003A2EB4">
        <w:t>This includes those who are disproportionately affected by violence - women, children and young people, tangata whenua, Pacific peoples, disabled people, older people, LGBTQIA+ communities, ethnic communities, and those who experience compounding forms of disadvantage and discrimination.</w:t>
      </w:r>
    </w:p>
    <w:p w14:paraId="465CD06A" w14:textId="77777777" w:rsidR="00881D44" w:rsidRPr="003A2EB4" w:rsidRDefault="00881D44" w:rsidP="00881D44">
      <w:pPr>
        <w:pStyle w:val="Heading2"/>
      </w:pPr>
      <w:r w:rsidRPr="003A2EB4">
        <w:t xml:space="preserve">Data improvement is necessary </w:t>
      </w:r>
    </w:p>
    <w:p w14:paraId="0155AFCC" w14:textId="77777777" w:rsidR="00881D44" w:rsidRPr="003A2EB4" w:rsidRDefault="00881D44" w:rsidP="0019515E">
      <w:r w:rsidRPr="003A2EB4">
        <w:t xml:space="preserve">There is a need to prioritise and invest in disaggregating data. Measurement of the Action Plan to make evidence-based decisions will require a progressive approach to data collection, this includes developing new indicators that are relevant to and reflect the priorities of all people and groups and building up our collective capacity to gather and analyse data better over time. </w:t>
      </w:r>
    </w:p>
    <w:p w14:paraId="4750501F" w14:textId="77777777" w:rsidR="00881D44" w:rsidRPr="003A2EB4" w:rsidRDefault="00881D44" w:rsidP="00881D44">
      <w:pPr>
        <w:pStyle w:val="Heading2"/>
      </w:pPr>
      <w:r w:rsidRPr="003A2EB4">
        <w:t xml:space="preserve">Monitoring will be supported by deep dive reports and evaluation </w:t>
      </w:r>
    </w:p>
    <w:p w14:paraId="004E022D" w14:textId="77777777" w:rsidR="00881D44" w:rsidRPr="003A2EB4" w:rsidRDefault="00881D44" w:rsidP="0019515E">
      <w:r w:rsidRPr="003A2EB4">
        <w:t xml:space="preserve">Deep dive reports provide the opportunity to understand the progress being made in a particular area of Te Aorerekura, for a particular community or group. Te Puna Aonui Business Unit will pull together up to two deep dives annually. These deep dives will be guided by priorities, indications that an area requires further analysis, and reporting happening across Te Puna Aonui agencies. </w:t>
      </w:r>
    </w:p>
    <w:p w14:paraId="159E8550" w14:textId="6F1E8129" w:rsidR="004540F9" w:rsidRPr="003A2EB4" w:rsidRDefault="00881D44" w:rsidP="0019515E">
      <w:r w:rsidRPr="003A2EB4">
        <w:lastRenderedPageBreak/>
        <w:t>Te Puna Aonui has already committed to an outcomes evaluation of Te Aorerekura in 2026/27 to gather in-depth information on what has been achieved at the five-year mark of implementation. This evaluation (and any other agency-led evaluations) will inform iterations of the second and future Action Plans.</w:t>
      </w:r>
    </w:p>
    <w:p w14:paraId="70495C92" w14:textId="7B3FFBBD" w:rsidR="005567CE" w:rsidRPr="003A2EB4" w:rsidRDefault="005567CE" w:rsidP="005567CE">
      <w:pPr>
        <w:pStyle w:val="Heading1"/>
      </w:pPr>
      <w:r w:rsidRPr="003A2EB4">
        <w:t>Appendix 2: Achieving outcomes</w:t>
      </w:r>
    </w:p>
    <w:p w14:paraId="61A5AFEE" w14:textId="76B4430F" w:rsidR="005567CE" w:rsidRPr="003A2EB4" w:rsidRDefault="005567CE" w:rsidP="005567CE">
      <w:r w:rsidRPr="003A2EB4">
        <w:t>We have identified which outcomes of the Outcomes and Measurement Framework will be supported by our focus areas.</w:t>
      </w:r>
    </w:p>
    <w:p w14:paraId="233383CD" w14:textId="7E5DE072" w:rsidR="005567CE" w:rsidRPr="003A2EB4" w:rsidRDefault="005567CE" w:rsidP="005567CE">
      <w:r w:rsidRPr="003A2EB4">
        <w:rPr>
          <w:b/>
          <w:bCs/>
        </w:rPr>
        <w:t>Outcome:</w:t>
      </w:r>
      <w:r w:rsidRPr="003A2EB4">
        <w:t xml:space="preserve"> </w:t>
      </w:r>
      <w:r w:rsidR="00390582" w:rsidRPr="003A2EB4">
        <w:t>Government agencies’ family violence and sexual violence approaches are strength-based and contribute to wellbeing</w:t>
      </w:r>
      <w:r w:rsidR="0007481C" w:rsidRPr="003A2EB4">
        <w:br/>
      </w:r>
      <w:r w:rsidR="00F8460B" w:rsidRPr="003A2EB4">
        <w:rPr>
          <w:b/>
          <w:bCs/>
        </w:rPr>
        <w:t>Five-year focus areas:</w:t>
      </w:r>
      <w:r w:rsidRPr="003A2EB4">
        <w:t xml:space="preserve"> </w:t>
      </w:r>
      <w:r w:rsidR="00390582" w:rsidRPr="003A2EB4">
        <w:t>Investing and commissioning well; Keeping people safe; Protecting children and young people; Strengthening our workforce; Preventing violence before it starts</w:t>
      </w:r>
    </w:p>
    <w:p w14:paraId="09A33905" w14:textId="0F56CD5E" w:rsidR="0007481C" w:rsidRPr="003A2EB4" w:rsidRDefault="0007481C" w:rsidP="0007481C">
      <w:pPr>
        <w:rPr>
          <w:lang w:eastAsia="ja-JP"/>
        </w:rPr>
      </w:pPr>
      <w:r w:rsidRPr="003A2EB4">
        <w:rPr>
          <w:b/>
          <w:bCs/>
          <w:lang w:eastAsia="ja-JP"/>
        </w:rPr>
        <w:t>Outcome:</w:t>
      </w:r>
      <w:r w:rsidRPr="003A2EB4">
        <w:rPr>
          <w:lang w:eastAsia="ja-JP"/>
        </w:rPr>
        <w:t xml:space="preserve"> </w:t>
      </w:r>
      <w:r w:rsidR="00EF22D8" w:rsidRPr="003A2EB4">
        <w:t>Tangata whenua, communities and specialist sectors lead effective family violence and sexual violence approaches and share knowledge</w:t>
      </w:r>
      <w:r w:rsidRPr="003A2EB4">
        <w:rPr>
          <w:lang w:eastAsia="ja-JP"/>
        </w:rPr>
        <w:br/>
      </w:r>
      <w:r w:rsidR="00F8460B" w:rsidRPr="003A2EB4">
        <w:rPr>
          <w:b/>
          <w:bCs/>
          <w:lang w:eastAsia="ja-JP"/>
        </w:rPr>
        <w:t>Five-year focus areas:</w:t>
      </w:r>
      <w:r w:rsidRPr="003A2EB4">
        <w:rPr>
          <w:lang w:eastAsia="ja-JP"/>
        </w:rPr>
        <w:t xml:space="preserve"> </w:t>
      </w:r>
      <w:r w:rsidR="00EF22D8" w:rsidRPr="003A2EB4">
        <w:rPr>
          <w:lang w:eastAsia="ja-JP"/>
        </w:rPr>
        <w:t>Investing and commissioning well; Keeping people safe;</w:t>
      </w:r>
      <w:r w:rsidR="00EF22D8" w:rsidRPr="003A2EB4">
        <w:t xml:space="preserve"> Taking action on sexual violence; Preventing violence before it starts</w:t>
      </w:r>
    </w:p>
    <w:p w14:paraId="6EE8EA78" w14:textId="1511DE05" w:rsidR="0007481C" w:rsidRPr="003A2EB4" w:rsidRDefault="00F8460B" w:rsidP="0007481C">
      <w:pPr>
        <w:rPr>
          <w:lang w:eastAsia="ja-JP"/>
        </w:rPr>
      </w:pPr>
      <w:r w:rsidRPr="003A2EB4">
        <w:rPr>
          <w:b/>
          <w:bCs/>
          <w:lang w:eastAsia="ja-JP"/>
        </w:rPr>
        <w:t>Outcome:</w:t>
      </w:r>
      <w:r w:rsidR="0007481C" w:rsidRPr="003A2EB4">
        <w:rPr>
          <w:lang w:eastAsia="ja-JP"/>
        </w:rPr>
        <w:t xml:space="preserve"> </w:t>
      </w:r>
      <w:r w:rsidR="00C0411A" w:rsidRPr="003A2EB4">
        <w:t>Government and specialist sectors have safe, competent, responsive and sustainable workforces</w:t>
      </w:r>
      <w:r w:rsidR="0007481C" w:rsidRPr="003A2EB4">
        <w:rPr>
          <w:lang w:eastAsia="ja-JP"/>
        </w:rPr>
        <w:br/>
      </w:r>
      <w:r w:rsidR="0007481C" w:rsidRPr="003A2EB4">
        <w:rPr>
          <w:b/>
          <w:bCs/>
          <w:lang w:eastAsia="ja-JP"/>
        </w:rPr>
        <w:t>Five-year focus area:</w:t>
      </w:r>
      <w:r w:rsidR="0007481C" w:rsidRPr="003A2EB4">
        <w:rPr>
          <w:lang w:eastAsia="ja-JP"/>
        </w:rPr>
        <w:t xml:space="preserve"> </w:t>
      </w:r>
      <w:r w:rsidR="00C0411A" w:rsidRPr="003A2EB4">
        <w:rPr>
          <w:lang w:eastAsia="ja-JP"/>
        </w:rPr>
        <w:t>Strengthening our workforce</w:t>
      </w:r>
    </w:p>
    <w:p w14:paraId="2A624E38" w14:textId="4C22621B" w:rsidR="0007481C" w:rsidRPr="003A2EB4" w:rsidRDefault="00F8460B" w:rsidP="0007481C">
      <w:pPr>
        <w:rPr>
          <w:lang w:eastAsia="ja-JP"/>
        </w:rPr>
      </w:pPr>
      <w:r w:rsidRPr="003A2EB4">
        <w:rPr>
          <w:b/>
          <w:bCs/>
          <w:lang w:eastAsia="ja-JP"/>
        </w:rPr>
        <w:t>Outcome:</w:t>
      </w:r>
      <w:r w:rsidR="0007481C" w:rsidRPr="003A2EB4">
        <w:rPr>
          <w:lang w:eastAsia="ja-JP"/>
        </w:rPr>
        <w:t xml:space="preserve"> </w:t>
      </w:r>
      <w:r w:rsidR="00C0411A" w:rsidRPr="003A2EB4">
        <w:t>Families, whānau, friends and other networks safely provide help and support</w:t>
      </w:r>
      <w:r w:rsidR="0007481C" w:rsidRPr="003A2EB4">
        <w:rPr>
          <w:lang w:eastAsia="ja-JP"/>
        </w:rPr>
        <w:br/>
      </w:r>
      <w:r w:rsidRPr="003A2EB4">
        <w:rPr>
          <w:b/>
          <w:bCs/>
          <w:lang w:eastAsia="ja-JP"/>
        </w:rPr>
        <w:t>Five-year focus areas:</w:t>
      </w:r>
      <w:r w:rsidR="0007481C" w:rsidRPr="003A2EB4">
        <w:rPr>
          <w:lang w:eastAsia="ja-JP"/>
        </w:rPr>
        <w:t xml:space="preserve"> </w:t>
      </w:r>
      <w:r w:rsidR="00C0411A" w:rsidRPr="003A2EB4">
        <w:rPr>
          <w:lang w:eastAsia="ja-JP"/>
        </w:rPr>
        <w:t>Keeping people safe;</w:t>
      </w:r>
      <w:r w:rsidR="00C0411A" w:rsidRPr="003A2EB4">
        <w:t xml:space="preserve"> Stopping violence; Protecting children and young people; Preventing violence before it starts</w:t>
      </w:r>
    </w:p>
    <w:p w14:paraId="10590C75" w14:textId="3C68B4E7" w:rsidR="0007481C" w:rsidRPr="003A2EB4" w:rsidRDefault="00F8460B" w:rsidP="0007481C">
      <w:pPr>
        <w:rPr>
          <w:lang w:eastAsia="ja-JP"/>
        </w:rPr>
      </w:pPr>
      <w:r w:rsidRPr="003A2EB4">
        <w:rPr>
          <w:b/>
          <w:bCs/>
          <w:lang w:eastAsia="ja-JP"/>
        </w:rPr>
        <w:t>Outcome:</w:t>
      </w:r>
      <w:r w:rsidR="0007481C" w:rsidRPr="003A2EB4">
        <w:rPr>
          <w:lang w:eastAsia="ja-JP"/>
        </w:rPr>
        <w:t xml:space="preserve"> </w:t>
      </w:r>
      <w:r w:rsidR="00283496" w:rsidRPr="003A2EB4">
        <w:t>People, whānau and families have safe and respectful relationships</w:t>
      </w:r>
      <w:r w:rsidR="0007481C" w:rsidRPr="003A2EB4">
        <w:rPr>
          <w:lang w:eastAsia="ja-JP"/>
        </w:rPr>
        <w:br/>
      </w:r>
      <w:r w:rsidR="0007481C" w:rsidRPr="003A2EB4">
        <w:rPr>
          <w:b/>
          <w:bCs/>
          <w:lang w:eastAsia="ja-JP"/>
        </w:rPr>
        <w:t xml:space="preserve">Five-year focus area: </w:t>
      </w:r>
      <w:r w:rsidR="003F7B92" w:rsidRPr="003A2EB4">
        <w:rPr>
          <w:lang w:eastAsia="ja-JP"/>
        </w:rPr>
        <w:t>Preventing violence before it starts</w:t>
      </w:r>
    </w:p>
    <w:p w14:paraId="4885709A" w14:textId="102B1C22" w:rsidR="0007481C" w:rsidRPr="003A2EB4" w:rsidRDefault="00F8460B" w:rsidP="0007481C">
      <w:pPr>
        <w:rPr>
          <w:lang w:eastAsia="ja-JP"/>
        </w:rPr>
      </w:pPr>
      <w:r w:rsidRPr="003A2EB4">
        <w:rPr>
          <w:b/>
          <w:bCs/>
          <w:lang w:eastAsia="ja-JP"/>
        </w:rPr>
        <w:t>Outcome:</w:t>
      </w:r>
      <w:r w:rsidR="0007481C" w:rsidRPr="003A2EB4">
        <w:rPr>
          <w:lang w:eastAsia="ja-JP"/>
        </w:rPr>
        <w:t xml:space="preserve"> </w:t>
      </w:r>
      <w:r w:rsidR="00283496" w:rsidRPr="003A2EB4">
        <w:t>Positive gender, social and cultural norms prevent family violence and sexual violence</w:t>
      </w:r>
      <w:r w:rsidR="0007481C" w:rsidRPr="003A2EB4">
        <w:rPr>
          <w:lang w:eastAsia="ja-JP"/>
        </w:rPr>
        <w:br/>
        <w:t xml:space="preserve">Five-year focus area: </w:t>
      </w:r>
      <w:r w:rsidR="003F7B92" w:rsidRPr="003A2EB4">
        <w:rPr>
          <w:lang w:eastAsia="ja-JP"/>
        </w:rPr>
        <w:t>Preventing violence before it starts</w:t>
      </w:r>
    </w:p>
    <w:p w14:paraId="3E400792" w14:textId="7D86DA7A" w:rsidR="00C63D70" w:rsidRPr="003A2EB4" w:rsidRDefault="00F8460B" w:rsidP="0007481C">
      <w:pPr>
        <w:rPr>
          <w:lang w:eastAsia="ja-JP"/>
        </w:rPr>
      </w:pPr>
      <w:r w:rsidRPr="003A2EB4">
        <w:rPr>
          <w:b/>
          <w:bCs/>
          <w:lang w:eastAsia="ja-JP"/>
        </w:rPr>
        <w:t>Outcome:</w:t>
      </w:r>
      <w:r w:rsidR="0007481C" w:rsidRPr="003A2EB4">
        <w:rPr>
          <w:lang w:eastAsia="ja-JP"/>
        </w:rPr>
        <w:t xml:space="preserve"> </w:t>
      </w:r>
      <w:r w:rsidR="00283496" w:rsidRPr="003A2EB4">
        <w:t>Responses to family violence and sexual violence are safe, tailored, equitable and integrated</w:t>
      </w:r>
      <w:r w:rsidR="0007481C" w:rsidRPr="003A2EB4">
        <w:rPr>
          <w:lang w:eastAsia="ja-JP"/>
        </w:rPr>
        <w:br/>
      </w:r>
      <w:r w:rsidRPr="003A2EB4">
        <w:rPr>
          <w:b/>
          <w:bCs/>
          <w:lang w:eastAsia="ja-JP"/>
        </w:rPr>
        <w:t>Five-year focus areas:</w:t>
      </w:r>
      <w:r w:rsidR="003F7B92" w:rsidRPr="003A2EB4">
        <w:rPr>
          <w:lang w:eastAsia="ja-JP"/>
        </w:rPr>
        <w:t xml:space="preserve"> </w:t>
      </w:r>
      <w:r w:rsidR="00C63D70" w:rsidRPr="003A2EB4">
        <w:t xml:space="preserve">Investing and commissioning well; Keeping people safe; </w:t>
      </w:r>
      <w:r w:rsidR="00C63D70" w:rsidRPr="003A2EB4">
        <w:rPr>
          <w:lang w:eastAsia="ja-JP"/>
        </w:rPr>
        <w:t>Protecting children and young people</w:t>
      </w:r>
      <w:r w:rsidR="00F81CEE" w:rsidRPr="003A2EB4">
        <w:rPr>
          <w:lang w:eastAsia="ja-JP"/>
        </w:rPr>
        <w:t xml:space="preserve">; </w:t>
      </w:r>
      <w:r w:rsidR="00F81CEE" w:rsidRPr="003A2EB4">
        <w:t>Taking action on sexual violence</w:t>
      </w:r>
    </w:p>
    <w:p w14:paraId="1A85926A" w14:textId="5FB06507" w:rsidR="0007481C" w:rsidRPr="003A2EB4" w:rsidRDefault="00F8460B" w:rsidP="0007481C">
      <w:pPr>
        <w:rPr>
          <w:lang w:eastAsia="ja-JP"/>
        </w:rPr>
      </w:pPr>
      <w:r w:rsidRPr="003A2EB4">
        <w:rPr>
          <w:b/>
          <w:bCs/>
          <w:lang w:eastAsia="ja-JP"/>
        </w:rPr>
        <w:t>Outcome:</w:t>
      </w:r>
      <w:r w:rsidR="0007481C" w:rsidRPr="003A2EB4">
        <w:rPr>
          <w:lang w:eastAsia="ja-JP"/>
        </w:rPr>
        <w:t xml:space="preserve"> </w:t>
      </w:r>
      <w:r w:rsidR="00140FFE" w:rsidRPr="003A2EB4">
        <w:t>People, whānau and families impacted by family violence and sexual violence get help early and are safe and supported</w:t>
      </w:r>
      <w:r w:rsidR="0007481C" w:rsidRPr="003A2EB4">
        <w:rPr>
          <w:lang w:eastAsia="ja-JP"/>
        </w:rPr>
        <w:br/>
      </w:r>
      <w:r w:rsidRPr="003A2EB4">
        <w:rPr>
          <w:b/>
          <w:bCs/>
          <w:lang w:eastAsia="ja-JP"/>
        </w:rPr>
        <w:t>Five-year focus areas:</w:t>
      </w:r>
      <w:r w:rsidR="0007481C" w:rsidRPr="003A2EB4">
        <w:rPr>
          <w:lang w:eastAsia="ja-JP"/>
        </w:rPr>
        <w:t xml:space="preserve"> </w:t>
      </w:r>
      <w:r w:rsidR="00C84960" w:rsidRPr="003A2EB4">
        <w:rPr>
          <w:lang w:eastAsia="ja-JP"/>
        </w:rPr>
        <w:t>Investing and commissioning well;</w:t>
      </w:r>
      <w:r w:rsidR="00407AFA" w:rsidRPr="003A2EB4">
        <w:rPr>
          <w:lang w:eastAsia="ja-JP"/>
        </w:rPr>
        <w:t xml:space="preserve"> </w:t>
      </w:r>
      <w:r w:rsidR="00407AFA" w:rsidRPr="003A2EB4">
        <w:t xml:space="preserve">Stopping violence; </w:t>
      </w:r>
      <w:r w:rsidR="00407AFA" w:rsidRPr="003A2EB4">
        <w:rPr>
          <w:lang w:eastAsia="ja-JP"/>
        </w:rPr>
        <w:t>Protecting children and young people</w:t>
      </w:r>
      <w:r w:rsidR="00BB53EC" w:rsidRPr="003A2EB4">
        <w:rPr>
          <w:lang w:eastAsia="ja-JP"/>
        </w:rPr>
        <w:t xml:space="preserve">; </w:t>
      </w:r>
      <w:r w:rsidR="00BB53EC" w:rsidRPr="003A2EB4">
        <w:t>Taking action on sexual violence</w:t>
      </w:r>
    </w:p>
    <w:p w14:paraId="1C8CFD27" w14:textId="36AFB886" w:rsidR="0007481C" w:rsidRPr="003A2EB4" w:rsidRDefault="00F8460B" w:rsidP="0007481C">
      <w:pPr>
        <w:rPr>
          <w:lang w:eastAsia="ja-JP"/>
        </w:rPr>
      </w:pPr>
      <w:r w:rsidRPr="003A2EB4">
        <w:rPr>
          <w:b/>
          <w:bCs/>
          <w:lang w:eastAsia="ja-JP"/>
        </w:rPr>
        <w:t>Outcome:</w:t>
      </w:r>
      <w:r w:rsidR="0007481C" w:rsidRPr="003A2EB4">
        <w:rPr>
          <w:lang w:eastAsia="ja-JP"/>
        </w:rPr>
        <w:t xml:space="preserve"> </w:t>
      </w:r>
      <w:r w:rsidR="00140FFE" w:rsidRPr="003A2EB4">
        <w:t>People who use violence are held accountable and supported to change their behaviour</w:t>
      </w:r>
      <w:r w:rsidR="0007481C" w:rsidRPr="003A2EB4">
        <w:rPr>
          <w:lang w:eastAsia="ja-JP"/>
        </w:rPr>
        <w:br/>
      </w:r>
      <w:r w:rsidR="0007481C" w:rsidRPr="003A2EB4">
        <w:rPr>
          <w:b/>
          <w:bCs/>
          <w:lang w:eastAsia="ja-JP"/>
        </w:rPr>
        <w:t xml:space="preserve">Five-year focus area: </w:t>
      </w:r>
      <w:r w:rsidR="00235D61" w:rsidRPr="003A2EB4">
        <w:rPr>
          <w:lang w:eastAsia="ja-JP"/>
        </w:rPr>
        <w:t>Stopping violence</w:t>
      </w:r>
    </w:p>
    <w:p w14:paraId="0E6C5D1C" w14:textId="4B7FD665" w:rsidR="0007481C" w:rsidRPr="003A2EB4" w:rsidRDefault="00F8460B" w:rsidP="0007481C">
      <w:pPr>
        <w:rPr>
          <w:lang w:eastAsia="ja-JP"/>
        </w:rPr>
      </w:pPr>
      <w:r w:rsidRPr="003A2EB4">
        <w:rPr>
          <w:b/>
          <w:bCs/>
          <w:lang w:eastAsia="ja-JP"/>
        </w:rPr>
        <w:t>Outcome:</w:t>
      </w:r>
      <w:r w:rsidR="0007481C" w:rsidRPr="003A2EB4">
        <w:rPr>
          <w:lang w:eastAsia="ja-JP"/>
        </w:rPr>
        <w:t xml:space="preserve"> </w:t>
      </w:r>
      <w:r w:rsidR="00140FFE" w:rsidRPr="003A2EB4">
        <w:t>People, whānau and families are supported to heal and recover in ways that work best for them</w:t>
      </w:r>
      <w:r w:rsidR="0007481C" w:rsidRPr="003A2EB4">
        <w:rPr>
          <w:lang w:eastAsia="ja-JP"/>
        </w:rPr>
        <w:br/>
      </w:r>
      <w:r w:rsidRPr="003A2EB4">
        <w:rPr>
          <w:b/>
          <w:bCs/>
          <w:lang w:eastAsia="ja-JP"/>
        </w:rPr>
        <w:t>Five-year focus areas:</w:t>
      </w:r>
      <w:r w:rsidR="0007481C" w:rsidRPr="003A2EB4">
        <w:rPr>
          <w:lang w:eastAsia="ja-JP"/>
        </w:rPr>
        <w:t xml:space="preserve"> </w:t>
      </w:r>
      <w:r w:rsidR="00C16B26" w:rsidRPr="003A2EB4">
        <w:rPr>
          <w:lang w:eastAsia="ja-JP"/>
        </w:rPr>
        <w:t>Keeping people safe; Protecting children and young people</w:t>
      </w:r>
      <w:r w:rsidR="003E40A6" w:rsidRPr="003A2EB4">
        <w:rPr>
          <w:lang w:eastAsia="ja-JP"/>
        </w:rPr>
        <w:t>; Taking action on sexual violence; Preventing violence before it starts</w:t>
      </w:r>
    </w:p>
    <w:p w14:paraId="73A27A1E" w14:textId="6DE5A704" w:rsidR="001B7DD9" w:rsidRPr="003A2EB4" w:rsidRDefault="00F8460B" w:rsidP="0007481C">
      <w:pPr>
        <w:rPr>
          <w:lang w:eastAsia="ja-JP"/>
        </w:rPr>
      </w:pPr>
      <w:r w:rsidRPr="003A2EB4">
        <w:rPr>
          <w:b/>
          <w:bCs/>
        </w:rPr>
        <w:lastRenderedPageBreak/>
        <w:t>Outcome:</w:t>
      </w:r>
      <w:r w:rsidR="001B7DD9" w:rsidRPr="003A2EB4">
        <w:t xml:space="preserve"> People, whānau and families are free from shame, stigma, silencing and discrimination</w:t>
      </w:r>
      <w:r w:rsidR="001B7DD9" w:rsidRPr="003A2EB4">
        <w:br/>
      </w:r>
      <w:r w:rsidR="001B7DD9" w:rsidRPr="003A2EB4">
        <w:rPr>
          <w:b/>
          <w:bCs/>
        </w:rPr>
        <w:t xml:space="preserve">Five-year focus area: </w:t>
      </w:r>
      <w:r w:rsidR="00C43374" w:rsidRPr="003A2EB4">
        <w:t>Preventing violence before it starts</w:t>
      </w:r>
    </w:p>
    <w:p w14:paraId="7566447B" w14:textId="601A844B" w:rsidR="001B7DD9" w:rsidRPr="003A2EB4" w:rsidRDefault="00F8460B" w:rsidP="001B7DD9">
      <w:r w:rsidRPr="003A2EB4">
        <w:rPr>
          <w:b/>
          <w:bCs/>
          <w:lang w:eastAsia="ja-JP"/>
        </w:rPr>
        <w:t>Outcome:</w:t>
      </w:r>
      <w:r w:rsidR="001B7DD9" w:rsidRPr="003A2EB4">
        <w:rPr>
          <w:lang w:eastAsia="ja-JP"/>
        </w:rPr>
        <w:t xml:space="preserve"> </w:t>
      </w:r>
      <w:r w:rsidR="003F7B92" w:rsidRPr="003A2EB4">
        <w:t>Improved quality and use of information to support evidence-based practice, policy and investment decisions</w:t>
      </w:r>
      <w:r w:rsidR="001B7DD9" w:rsidRPr="003A2EB4">
        <w:rPr>
          <w:lang w:eastAsia="ja-JP"/>
        </w:rPr>
        <w:br/>
      </w:r>
      <w:r w:rsidRPr="003A2EB4">
        <w:rPr>
          <w:b/>
          <w:bCs/>
          <w:lang w:eastAsia="ja-JP"/>
        </w:rPr>
        <w:t>Five-year focus areas:</w:t>
      </w:r>
      <w:r w:rsidR="00C43374" w:rsidRPr="003A2EB4">
        <w:t xml:space="preserve"> Investing and commissioning well; Keeping people safe; Protecting children and young people</w:t>
      </w:r>
    </w:p>
    <w:p w14:paraId="2B0A9071" w14:textId="3B01A4EF" w:rsidR="00570EA9" w:rsidRPr="003A2EB4" w:rsidRDefault="00570EA9" w:rsidP="00570EA9">
      <w:pPr>
        <w:pStyle w:val="Heading1"/>
      </w:pPr>
      <w:r w:rsidRPr="003A2EB4">
        <w:t>Appendix 2: Achieving outcomes</w:t>
      </w:r>
    </w:p>
    <w:p w14:paraId="67A4FC00" w14:textId="1293CC17" w:rsidR="00570EA9" w:rsidRPr="003A2EB4" w:rsidRDefault="0078217E" w:rsidP="001B7DD9">
      <w:r w:rsidRPr="003A2EB4">
        <w:t>We will report annually on how our three priority focus areas will contribute to these outcomes in the short term as identified in the Outcomes and Measurement Framework.</w:t>
      </w:r>
    </w:p>
    <w:p w14:paraId="52C6E00C" w14:textId="35979B16" w:rsidR="001B7DD9" w:rsidRPr="003A2EB4" w:rsidRDefault="00F8460B" w:rsidP="0078217E">
      <w:pPr>
        <w:rPr>
          <w:lang w:eastAsia="ja-JP"/>
        </w:rPr>
      </w:pPr>
      <w:r w:rsidRPr="003A2EB4">
        <w:rPr>
          <w:b/>
          <w:bCs/>
        </w:rPr>
        <w:t>Long term outcome:</w:t>
      </w:r>
      <w:r w:rsidR="0010027B" w:rsidRPr="003A2EB4">
        <w:t xml:space="preserve"> Government agencies’ family violence and sexual violence approaches are strength-based and contribute to wellbeing</w:t>
      </w:r>
      <w:r w:rsidR="0078217E" w:rsidRPr="003A2EB4">
        <w:br/>
      </w:r>
      <w:r w:rsidRPr="003A2EB4">
        <w:rPr>
          <w:b/>
          <w:bCs/>
        </w:rPr>
        <w:t>Short term outcome:</w:t>
      </w:r>
      <w:r w:rsidR="0080047F" w:rsidRPr="003A2EB4">
        <w:t xml:space="preserve"> Improved use of strength-based approaches in government responses</w:t>
      </w:r>
      <w:r w:rsidR="0078217E" w:rsidRPr="003A2EB4">
        <w:br/>
      </w:r>
      <w:r w:rsidRPr="003A2EB4">
        <w:rPr>
          <w:b/>
          <w:bCs/>
          <w:lang w:eastAsia="ja-JP"/>
        </w:rPr>
        <w:t>Five-year focus areas:</w:t>
      </w:r>
      <w:r w:rsidR="0077447F" w:rsidRPr="003A2EB4">
        <w:rPr>
          <w:b/>
          <w:bCs/>
          <w:lang w:eastAsia="ja-JP"/>
        </w:rPr>
        <w:t xml:space="preserve"> </w:t>
      </w:r>
      <w:r w:rsidR="0077447F" w:rsidRPr="003A2EB4">
        <w:rPr>
          <w:lang w:eastAsia="ja-JP"/>
        </w:rPr>
        <w:t>Investing and commissioning well; Keeping people safe</w:t>
      </w:r>
    </w:p>
    <w:p w14:paraId="5C054C9C" w14:textId="2E4A5195" w:rsidR="0071619E" w:rsidRPr="003A2EB4" w:rsidRDefault="00F8460B" w:rsidP="0071619E">
      <w:pPr>
        <w:rPr>
          <w:lang w:eastAsia="ja-JP"/>
        </w:rPr>
      </w:pPr>
      <w:r w:rsidRPr="003A2EB4">
        <w:rPr>
          <w:b/>
          <w:bCs/>
          <w:lang w:eastAsia="ja-JP"/>
        </w:rPr>
        <w:t>Long term outcome:</w:t>
      </w:r>
      <w:r w:rsidR="0080047F" w:rsidRPr="003A2EB4">
        <w:t xml:space="preserve"> </w:t>
      </w:r>
      <w:r w:rsidR="0080047F" w:rsidRPr="003A2EB4">
        <w:rPr>
          <w:lang w:eastAsia="ja-JP"/>
        </w:rPr>
        <w:t>Government agencies’ family violence and sexual violence approaches are strength-based and contribute to wellbeing</w:t>
      </w:r>
      <w:r w:rsidR="0071619E" w:rsidRPr="003A2EB4">
        <w:rPr>
          <w:lang w:eastAsia="ja-JP"/>
        </w:rPr>
        <w:br/>
      </w:r>
      <w:r w:rsidRPr="003A2EB4">
        <w:rPr>
          <w:b/>
          <w:bCs/>
          <w:lang w:eastAsia="ja-JP"/>
        </w:rPr>
        <w:t>Short term outcome:</w:t>
      </w:r>
      <w:r w:rsidR="0080047F" w:rsidRPr="003A2EB4">
        <w:rPr>
          <w:lang w:eastAsia="ja-JP"/>
        </w:rPr>
        <w:t xml:space="preserve"> </w:t>
      </w:r>
      <w:r w:rsidR="0080047F" w:rsidRPr="003A2EB4">
        <w:t>Less harm by government agencies toward people, whānau and families</w:t>
      </w:r>
      <w:r w:rsidR="0071619E" w:rsidRPr="003A2EB4">
        <w:rPr>
          <w:lang w:eastAsia="ja-JP"/>
        </w:rPr>
        <w:br/>
      </w:r>
      <w:r w:rsidRPr="003A2EB4">
        <w:rPr>
          <w:b/>
          <w:bCs/>
          <w:lang w:eastAsia="ja-JP"/>
        </w:rPr>
        <w:t>Five-year focus areas:</w:t>
      </w:r>
      <w:r w:rsidR="0077447F" w:rsidRPr="003A2EB4">
        <w:rPr>
          <w:lang w:eastAsia="ja-JP"/>
        </w:rPr>
        <w:t xml:space="preserve"> Investing and commissioning well; Keeping people safe</w:t>
      </w:r>
    </w:p>
    <w:p w14:paraId="02663E3D" w14:textId="79BBE9BC" w:rsidR="0071619E" w:rsidRPr="003A2EB4" w:rsidRDefault="00F8460B" w:rsidP="0071619E">
      <w:pPr>
        <w:rPr>
          <w:lang w:eastAsia="ja-JP"/>
        </w:rPr>
      </w:pPr>
      <w:r w:rsidRPr="003A2EB4">
        <w:rPr>
          <w:b/>
          <w:bCs/>
          <w:lang w:eastAsia="ja-JP"/>
        </w:rPr>
        <w:t>Long term outcome:</w:t>
      </w:r>
      <w:r w:rsidR="0080047F" w:rsidRPr="003A2EB4">
        <w:t xml:space="preserve"> </w:t>
      </w:r>
      <w:r w:rsidR="0080047F" w:rsidRPr="003A2EB4">
        <w:rPr>
          <w:lang w:eastAsia="ja-JP"/>
        </w:rPr>
        <w:t>Government agencies’ family violence and sexual violence approaches are strength-based and contribute to wellbeing</w:t>
      </w:r>
      <w:r w:rsidR="0071619E" w:rsidRPr="003A2EB4">
        <w:rPr>
          <w:lang w:eastAsia="ja-JP"/>
        </w:rPr>
        <w:br/>
      </w:r>
      <w:r w:rsidRPr="003A2EB4">
        <w:rPr>
          <w:b/>
          <w:bCs/>
          <w:lang w:eastAsia="ja-JP"/>
        </w:rPr>
        <w:t>Short term outcome:</w:t>
      </w:r>
      <w:r w:rsidR="0080047F" w:rsidRPr="003A2EB4">
        <w:t xml:space="preserve"> More government agencies understand their roles, responsibilities, and opportunities in eliminating family violence and sexual violence</w:t>
      </w:r>
      <w:r w:rsidR="0071619E" w:rsidRPr="003A2EB4">
        <w:rPr>
          <w:lang w:eastAsia="ja-JP"/>
        </w:rPr>
        <w:br/>
      </w:r>
      <w:r w:rsidRPr="003A2EB4">
        <w:rPr>
          <w:b/>
          <w:bCs/>
          <w:lang w:eastAsia="ja-JP"/>
        </w:rPr>
        <w:t>Five-year focus areas:</w:t>
      </w:r>
      <w:r w:rsidR="0077447F" w:rsidRPr="003A2EB4">
        <w:rPr>
          <w:lang w:eastAsia="ja-JP"/>
        </w:rPr>
        <w:t xml:space="preserve"> </w:t>
      </w:r>
      <w:r w:rsidR="0077447F" w:rsidRPr="003A2EB4">
        <w:rPr>
          <w:b/>
          <w:bCs/>
          <w:lang w:eastAsia="ja-JP"/>
        </w:rPr>
        <w:t>Investing and commissioning well; Keeping people safe</w:t>
      </w:r>
    </w:p>
    <w:p w14:paraId="19753714" w14:textId="225BC5CB" w:rsidR="0071619E" w:rsidRPr="003A2EB4" w:rsidRDefault="00F8460B" w:rsidP="0071619E">
      <w:pPr>
        <w:rPr>
          <w:lang w:eastAsia="ja-JP"/>
        </w:rPr>
      </w:pPr>
      <w:r w:rsidRPr="003A2EB4">
        <w:rPr>
          <w:b/>
          <w:bCs/>
          <w:lang w:eastAsia="ja-JP"/>
        </w:rPr>
        <w:t>Long term outcome:</w:t>
      </w:r>
      <w:r w:rsidR="0080047F" w:rsidRPr="003A2EB4">
        <w:t xml:space="preserve"> </w:t>
      </w:r>
      <w:r w:rsidR="0080047F" w:rsidRPr="003A2EB4">
        <w:rPr>
          <w:lang w:eastAsia="ja-JP"/>
        </w:rPr>
        <w:t>Government agencies’ family violence and sexual violence approaches are strength-based and contribute to wellbeing</w:t>
      </w:r>
      <w:r w:rsidR="0071619E" w:rsidRPr="003A2EB4">
        <w:rPr>
          <w:lang w:eastAsia="ja-JP"/>
        </w:rPr>
        <w:br/>
      </w:r>
      <w:r w:rsidRPr="003A2EB4">
        <w:rPr>
          <w:b/>
          <w:bCs/>
          <w:lang w:eastAsia="ja-JP"/>
        </w:rPr>
        <w:t>Short term outcome:</w:t>
      </w:r>
      <w:r w:rsidR="0080047F" w:rsidRPr="003A2EB4">
        <w:t xml:space="preserve"> More government agencies act on opportunities to impact family violence and sexual violence</w:t>
      </w:r>
      <w:r w:rsidR="0071619E" w:rsidRPr="003A2EB4">
        <w:rPr>
          <w:lang w:eastAsia="ja-JP"/>
        </w:rPr>
        <w:br/>
      </w:r>
      <w:r w:rsidRPr="003A2EB4">
        <w:rPr>
          <w:b/>
          <w:bCs/>
          <w:lang w:eastAsia="ja-JP"/>
        </w:rPr>
        <w:t>Five-year focus areas:</w:t>
      </w:r>
      <w:r w:rsidR="0077447F" w:rsidRPr="003A2EB4">
        <w:rPr>
          <w:lang w:eastAsia="ja-JP"/>
        </w:rPr>
        <w:t xml:space="preserve"> Investing and commissioning well; Keeping people safe</w:t>
      </w:r>
    </w:p>
    <w:p w14:paraId="7822FAFE" w14:textId="599A0364" w:rsidR="0071619E" w:rsidRPr="003A2EB4" w:rsidRDefault="00F8460B" w:rsidP="0071619E">
      <w:pPr>
        <w:rPr>
          <w:lang w:eastAsia="ja-JP"/>
        </w:rPr>
      </w:pPr>
      <w:r w:rsidRPr="003A2EB4">
        <w:rPr>
          <w:b/>
          <w:bCs/>
          <w:lang w:eastAsia="ja-JP"/>
        </w:rPr>
        <w:t>Long term outcome:</w:t>
      </w:r>
      <w:r w:rsidR="0080047F" w:rsidRPr="003A2EB4">
        <w:t xml:space="preserve"> </w:t>
      </w:r>
      <w:r w:rsidR="0080047F" w:rsidRPr="003A2EB4">
        <w:rPr>
          <w:lang w:eastAsia="ja-JP"/>
        </w:rPr>
        <w:t>Government agencies’ family violence and sexual violence approaches are strength-based and contribute to wellbeing</w:t>
      </w:r>
      <w:r w:rsidR="0071619E" w:rsidRPr="003A2EB4">
        <w:rPr>
          <w:lang w:eastAsia="ja-JP"/>
        </w:rPr>
        <w:br/>
      </w:r>
      <w:r w:rsidRPr="003A2EB4">
        <w:rPr>
          <w:b/>
          <w:bCs/>
          <w:lang w:eastAsia="ja-JP"/>
        </w:rPr>
        <w:t>Short term outcome:</w:t>
      </w:r>
      <w:r w:rsidR="00FD0B86" w:rsidRPr="003A2EB4">
        <w:t xml:space="preserve"> Improved coordination and alignment within and across government agencies at local, regional, and national levels</w:t>
      </w:r>
      <w:r w:rsidR="0071619E" w:rsidRPr="003A2EB4">
        <w:rPr>
          <w:lang w:eastAsia="ja-JP"/>
        </w:rPr>
        <w:br/>
      </w:r>
      <w:r w:rsidRPr="003A2EB4">
        <w:rPr>
          <w:b/>
          <w:bCs/>
          <w:lang w:eastAsia="ja-JP"/>
        </w:rPr>
        <w:t>Five-year focus areas:</w:t>
      </w:r>
      <w:r w:rsidR="0077447F" w:rsidRPr="003A2EB4">
        <w:rPr>
          <w:b/>
          <w:bCs/>
          <w:lang w:eastAsia="ja-JP"/>
        </w:rPr>
        <w:t xml:space="preserve"> </w:t>
      </w:r>
      <w:r w:rsidR="0077447F" w:rsidRPr="003A2EB4">
        <w:rPr>
          <w:lang w:eastAsia="ja-JP"/>
        </w:rPr>
        <w:t>Investing and commissioning well; Keeping people safe; Stopping violence</w:t>
      </w:r>
    </w:p>
    <w:p w14:paraId="559FF444" w14:textId="3F87CB36" w:rsidR="0071619E" w:rsidRPr="003A2EB4" w:rsidRDefault="00F8460B" w:rsidP="0071619E">
      <w:pPr>
        <w:rPr>
          <w:b/>
          <w:bCs/>
          <w:lang w:eastAsia="ja-JP"/>
        </w:rPr>
      </w:pPr>
      <w:r w:rsidRPr="003A2EB4">
        <w:rPr>
          <w:b/>
          <w:bCs/>
          <w:lang w:eastAsia="ja-JP"/>
        </w:rPr>
        <w:t>Long term outcome:</w:t>
      </w:r>
      <w:r w:rsidR="00002378" w:rsidRPr="003A2EB4">
        <w:t xml:space="preserve"> Tangata whenua, communities and specialist sectors lead effective family violence and sexual violence approaches and share knowledge</w:t>
      </w:r>
      <w:r w:rsidR="00002378" w:rsidRPr="003A2EB4">
        <w:rPr>
          <w:b/>
          <w:bCs/>
          <w:lang w:eastAsia="ja-JP"/>
        </w:rPr>
        <w:t xml:space="preserve"> </w:t>
      </w:r>
      <w:r w:rsidR="00002378" w:rsidRPr="003A2EB4">
        <w:rPr>
          <w:b/>
          <w:bCs/>
          <w:lang w:eastAsia="ja-JP"/>
        </w:rPr>
        <w:br/>
      </w:r>
      <w:r w:rsidRPr="003A2EB4">
        <w:rPr>
          <w:b/>
          <w:bCs/>
          <w:lang w:eastAsia="ja-JP"/>
        </w:rPr>
        <w:t>Short term outcome:</w:t>
      </w:r>
      <w:r w:rsidR="00002378" w:rsidRPr="003A2EB4">
        <w:t xml:space="preserve"> Improved trust and relationships between government, tangata whenua, communities and specialist sectors</w:t>
      </w:r>
      <w:r w:rsidR="0071619E" w:rsidRPr="003A2EB4">
        <w:rPr>
          <w:lang w:eastAsia="ja-JP"/>
        </w:rPr>
        <w:br/>
      </w:r>
      <w:r w:rsidRPr="003A2EB4">
        <w:rPr>
          <w:b/>
          <w:bCs/>
          <w:lang w:eastAsia="ja-JP"/>
        </w:rPr>
        <w:t>Five-year focus areas:</w:t>
      </w:r>
      <w:r w:rsidR="00002378" w:rsidRPr="003A2EB4">
        <w:rPr>
          <w:b/>
          <w:bCs/>
          <w:lang w:eastAsia="ja-JP"/>
        </w:rPr>
        <w:t xml:space="preserve"> </w:t>
      </w:r>
      <w:r w:rsidR="00002378" w:rsidRPr="003A2EB4">
        <w:rPr>
          <w:lang w:eastAsia="ja-JP"/>
        </w:rPr>
        <w:t>Investing and commissioning well; Keeping people safe; Stopping violence</w:t>
      </w:r>
    </w:p>
    <w:p w14:paraId="36C85839" w14:textId="438B9F13" w:rsidR="0071619E" w:rsidRPr="003A2EB4" w:rsidRDefault="00F8460B" w:rsidP="0071619E">
      <w:pPr>
        <w:rPr>
          <w:lang w:eastAsia="ja-JP"/>
        </w:rPr>
      </w:pPr>
      <w:r w:rsidRPr="003A2EB4">
        <w:rPr>
          <w:b/>
          <w:bCs/>
          <w:lang w:eastAsia="ja-JP"/>
        </w:rPr>
        <w:lastRenderedPageBreak/>
        <w:t>Long term outcome:</w:t>
      </w:r>
      <w:r w:rsidR="00002378" w:rsidRPr="003A2EB4">
        <w:rPr>
          <w:b/>
          <w:bCs/>
          <w:lang w:eastAsia="ja-JP"/>
        </w:rPr>
        <w:t xml:space="preserve"> </w:t>
      </w:r>
      <w:r w:rsidR="00002378" w:rsidRPr="003A2EB4">
        <w:t>Tangata whenua, communities and specialist sectors lead effective family violence and sexual violence approaches and share knowledge</w:t>
      </w:r>
      <w:r w:rsidR="0071619E" w:rsidRPr="003A2EB4">
        <w:rPr>
          <w:lang w:eastAsia="ja-JP"/>
        </w:rPr>
        <w:br/>
      </w:r>
      <w:r w:rsidRPr="003A2EB4">
        <w:rPr>
          <w:b/>
          <w:bCs/>
          <w:lang w:eastAsia="ja-JP"/>
        </w:rPr>
        <w:t>Short term outcome:</w:t>
      </w:r>
      <w:r w:rsidR="00002378" w:rsidRPr="003A2EB4">
        <w:rPr>
          <w:b/>
          <w:bCs/>
          <w:lang w:eastAsia="ja-JP"/>
        </w:rPr>
        <w:t xml:space="preserve"> </w:t>
      </w:r>
      <w:r w:rsidR="00002378" w:rsidRPr="003A2EB4">
        <w:t>Increased tangata whenua and community leadership to eliminate family violence and sexual violence</w:t>
      </w:r>
      <w:r w:rsidR="0071619E" w:rsidRPr="003A2EB4">
        <w:rPr>
          <w:lang w:eastAsia="ja-JP"/>
        </w:rPr>
        <w:br/>
      </w:r>
      <w:r w:rsidRPr="003A2EB4">
        <w:rPr>
          <w:b/>
          <w:bCs/>
          <w:lang w:eastAsia="ja-JP"/>
        </w:rPr>
        <w:t>Five-year focus areas:</w:t>
      </w:r>
      <w:r w:rsidR="00002378" w:rsidRPr="003A2EB4">
        <w:rPr>
          <w:b/>
          <w:bCs/>
          <w:lang w:eastAsia="ja-JP"/>
        </w:rPr>
        <w:t xml:space="preserve"> </w:t>
      </w:r>
      <w:r w:rsidR="00002378" w:rsidRPr="003A2EB4">
        <w:rPr>
          <w:lang w:eastAsia="ja-JP"/>
        </w:rPr>
        <w:t>Investing and commissioning well; Keeping people safe; Stopping violence</w:t>
      </w:r>
    </w:p>
    <w:p w14:paraId="2D58C59D" w14:textId="46550967" w:rsidR="0071619E" w:rsidRPr="003A2EB4" w:rsidRDefault="00F8460B" w:rsidP="0071619E">
      <w:pPr>
        <w:rPr>
          <w:lang w:eastAsia="ja-JP"/>
        </w:rPr>
      </w:pPr>
      <w:r w:rsidRPr="003A2EB4">
        <w:rPr>
          <w:b/>
          <w:bCs/>
          <w:lang w:eastAsia="ja-JP"/>
        </w:rPr>
        <w:t>Long term outcome:</w:t>
      </w:r>
      <w:r w:rsidR="00002378" w:rsidRPr="003A2EB4">
        <w:t xml:space="preserve"> Tangata whenua, communities and specialist sectors lead effective family violence and sexual violence approaches and share knowledge</w:t>
      </w:r>
      <w:r w:rsidR="0071619E" w:rsidRPr="003A2EB4">
        <w:rPr>
          <w:lang w:eastAsia="ja-JP"/>
        </w:rPr>
        <w:br/>
      </w:r>
      <w:r w:rsidRPr="003A2EB4">
        <w:rPr>
          <w:b/>
          <w:bCs/>
          <w:lang w:eastAsia="ja-JP"/>
        </w:rPr>
        <w:t>Short term outcome:</w:t>
      </w:r>
      <w:r w:rsidR="00002378" w:rsidRPr="003A2EB4">
        <w:t xml:space="preserve"> More locally and regionally delivered, effective family violence and sexual violence approaches</w:t>
      </w:r>
      <w:r w:rsidR="0071619E" w:rsidRPr="003A2EB4">
        <w:rPr>
          <w:lang w:eastAsia="ja-JP"/>
        </w:rPr>
        <w:br/>
      </w:r>
      <w:r w:rsidRPr="003A2EB4">
        <w:rPr>
          <w:b/>
          <w:bCs/>
          <w:lang w:eastAsia="ja-JP"/>
        </w:rPr>
        <w:t>Five-year focus areas:</w:t>
      </w:r>
      <w:r w:rsidR="00002378" w:rsidRPr="003A2EB4">
        <w:rPr>
          <w:lang w:eastAsia="ja-JP"/>
        </w:rPr>
        <w:t xml:space="preserve"> Investing and commissioning well; Keeping people safe; Stopping violence</w:t>
      </w:r>
    </w:p>
    <w:p w14:paraId="353B47B7" w14:textId="73BB0558" w:rsidR="0071619E" w:rsidRPr="003A2EB4" w:rsidRDefault="00F8460B" w:rsidP="0071619E">
      <w:pPr>
        <w:rPr>
          <w:lang w:eastAsia="ja-JP"/>
        </w:rPr>
      </w:pPr>
      <w:r w:rsidRPr="003A2EB4">
        <w:rPr>
          <w:b/>
          <w:bCs/>
          <w:lang w:eastAsia="ja-JP"/>
        </w:rPr>
        <w:t>Long term outcome:</w:t>
      </w:r>
      <w:r w:rsidR="00AF2165" w:rsidRPr="003A2EB4">
        <w:t xml:space="preserve"> People, whānau and families enjoy safe and respectful relationships</w:t>
      </w:r>
      <w:r w:rsidR="0071619E" w:rsidRPr="003A2EB4">
        <w:rPr>
          <w:lang w:eastAsia="ja-JP"/>
        </w:rPr>
        <w:br/>
      </w:r>
      <w:r w:rsidRPr="003A2EB4">
        <w:rPr>
          <w:b/>
          <w:bCs/>
          <w:lang w:eastAsia="ja-JP"/>
        </w:rPr>
        <w:t>Short term outcome:</w:t>
      </w:r>
      <w:r w:rsidR="00AF2165" w:rsidRPr="003A2EB4">
        <w:rPr>
          <w:b/>
          <w:bCs/>
          <w:lang w:eastAsia="ja-JP"/>
        </w:rPr>
        <w:t xml:space="preserve"> </w:t>
      </w:r>
      <w:r w:rsidR="00AF2165" w:rsidRPr="003A2EB4">
        <w:t>Improved support for families, whānau and caregivers</w:t>
      </w:r>
      <w:r w:rsidR="0071619E" w:rsidRPr="003A2EB4">
        <w:rPr>
          <w:lang w:eastAsia="ja-JP"/>
        </w:rPr>
        <w:br/>
      </w:r>
      <w:r w:rsidRPr="003A2EB4">
        <w:rPr>
          <w:b/>
          <w:bCs/>
          <w:lang w:eastAsia="ja-JP"/>
        </w:rPr>
        <w:t>Five-year focus areas:</w:t>
      </w:r>
      <w:r w:rsidR="00AF2165" w:rsidRPr="003A2EB4">
        <w:rPr>
          <w:lang w:eastAsia="ja-JP"/>
        </w:rPr>
        <w:t xml:space="preserve"> Investing and commissioning well; Keeping people safe; Stopping violence</w:t>
      </w:r>
    </w:p>
    <w:p w14:paraId="03311BE4" w14:textId="7697E07D" w:rsidR="0071619E" w:rsidRPr="003A2EB4" w:rsidRDefault="00F8460B" w:rsidP="0071619E">
      <w:pPr>
        <w:rPr>
          <w:lang w:eastAsia="ja-JP"/>
        </w:rPr>
      </w:pPr>
      <w:r w:rsidRPr="003A2EB4">
        <w:rPr>
          <w:b/>
          <w:bCs/>
          <w:lang w:eastAsia="ja-JP"/>
        </w:rPr>
        <w:t>Long term outcome:</w:t>
      </w:r>
      <w:r w:rsidR="00AF2165" w:rsidRPr="003A2EB4">
        <w:rPr>
          <w:b/>
          <w:bCs/>
          <w:lang w:eastAsia="ja-JP"/>
        </w:rPr>
        <w:t xml:space="preserve"> </w:t>
      </w:r>
      <w:r w:rsidR="00AF2165" w:rsidRPr="003A2EB4">
        <w:t>Responses to family violence and sexual violence are safe, tailored, equitable and integrated</w:t>
      </w:r>
      <w:r w:rsidR="0071619E" w:rsidRPr="003A2EB4">
        <w:rPr>
          <w:lang w:eastAsia="ja-JP"/>
        </w:rPr>
        <w:br/>
      </w:r>
      <w:r w:rsidRPr="003A2EB4">
        <w:rPr>
          <w:b/>
          <w:bCs/>
          <w:lang w:eastAsia="ja-JP"/>
        </w:rPr>
        <w:t>Short term outcome:</w:t>
      </w:r>
      <w:r w:rsidR="00AF2165" w:rsidRPr="003A2EB4">
        <w:t xml:space="preserve"> More people, whānau and families can access effective tailored services and supports</w:t>
      </w:r>
      <w:r w:rsidR="0071619E" w:rsidRPr="003A2EB4">
        <w:rPr>
          <w:lang w:eastAsia="ja-JP"/>
        </w:rPr>
        <w:br/>
      </w:r>
      <w:r w:rsidRPr="003A2EB4">
        <w:rPr>
          <w:b/>
          <w:bCs/>
          <w:lang w:eastAsia="ja-JP"/>
        </w:rPr>
        <w:t>Five-year focus areas:</w:t>
      </w:r>
      <w:r w:rsidR="00AF2165" w:rsidRPr="003A2EB4">
        <w:rPr>
          <w:b/>
          <w:bCs/>
          <w:lang w:eastAsia="ja-JP"/>
        </w:rPr>
        <w:t xml:space="preserve"> </w:t>
      </w:r>
      <w:r w:rsidR="00AF2165" w:rsidRPr="003A2EB4">
        <w:rPr>
          <w:lang w:eastAsia="ja-JP"/>
        </w:rPr>
        <w:t>Investing and commissioning well; Keeping people safe; Stopping violence</w:t>
      </w:r>
    </w:p>
    <w:p w14:paraId="5F2CAF5D" w14:textId="37ADDD12" w:rsidR="00CB6C78" w:rsidRPr="003A2EB4" w:rsidRDefault="00CB6C78" w:rsidP="00CB6C78">
      <w:pPr>
        <w:pStyle w:val="Heading1"/>
      </w:pPr>
      <w:r w:rsidRPr="003A2EB4">
        <w:t>Appendix 2: Achieving outcomes</w:t>
      </w:r>
    </w:p>
    <w:p w14:paraId="4B407C54" w14:textId="0315FF12" w:rsidR="00CD517D" w:rsidRPr="003A2EB4" w:rsidRDefault="00CD517D" w:rsidP="00CD517D">
      <w:pPr>
        <w:rPr>
          <w:lang w:eastAsia="ja-JP"/>
        </w:rPr>
      </w:pPr>
      <w:r w:rsidRPr="003A2EB4">
        <w:rPr>
          <w:b/>
          <w:bCs/>
          <w:lang w:eastAsia="ja-JP"/>
        </w:rPr>
        <w:t>Long term outcome:</w:t>
      </w:r>
      <w:r w:rsidRPr="003A2EB4">
        <w:rPr>
          <w:lang w:eastAsia="ja-JP"/>
        </w:rPr>
        <w:t xml:space="preserve"> </w:t>
      </w:r>
      <w:r w:rsidR="0054481C" w:rsidRPr="003A2EB4">
        <w:t>People, whānau and families impacted by family violence and sexual violence get help early and are safe and supported</w:t>
      </w:r>
      <w:r w:rsidRPr="003A2EB4">
        <w:rPr>
          <w:lang w:eastAsia="ja-JP"/>
        </w:rPr>
        <w:br/>
      </w:r>
      <w:r w:rsidRPr="003A2EB4">
        <w:rPr>
          <w:b/>
          <w:bCs/>
          <w:lang w:eastAsia="ja-JP"/>
        </w:rPr>
        <w:t xml:space="preserve">Short term outcome: </w:t>
      </w:r>
      <w:r w:rsidR="0054481C" w:rsidRPr="003A2EB4">
        <w:t>More people, whānau and families can access early family violence and sexual violence services and support</w:t>
      </w:r>
      <w:r w:rsidRPr="003A2EB4">
        <w:rPr>
          <w:lang w:eastAsia="ja-JP"/>
        </w:rPr>
        <w:br/>
      </w:r>
      <w:r w:rsidRPr="003A2EB4">
        <w:rPr>
          <w:b/>
          <w:bCs/>
          <w:lang w:eastAsia="ja-JP"/>
        </w:rPr>
        <w:t>Five-year focus areas:</w:t>
      </w:r>
      <w:r w:rsidRPr="003A2EB4">
        <w:rPr>
          <w:lang w:eastAsia="ja-JP"/>
        </w:rPr>
        <w:t xml:space="preserve"> </w:t>
      </w:r>
      <w:r w:rsidR="0054481C" w:rsidRPr="003A2EB4">
        <w:rPr>
          <w:lang w:eastAsia="ja-JP"/>
        </w:rPr>
        <w:t>Investing and commissioning well; Keeping people safe; Stopping violence</w:t>
      </w:r>
    </w:p>
    <w:p w14:paraId="221E374E" w14:textId="5709E1F4" w:rsidR="00CD517D" w:rsidRPr="003A2EB4" w:rsidRDefault="00CD517D" w:rsidP="00CD517D">
      <w:pPr>
        <w:rPr>
          <w:lang w:eastAsia="ja-JP"/>
        </w:rPr>
      </w:pPr>
      <w:r w:rsidRPr="003A2EB4">
        <w:rPr>
          <w:b/>
          <w:bCs/>
          <w:lang w:eastAsia="ja-JP"/>
        </w:rPr>
        <w:t>Long term outcome:</w:t>
      </w:r>
      <w:r w:rsidRPr="003A2EB4">
        <w:rPr>
          <w:lang w:eastAsia="ja-JP"/>
        </w:rPr>
        <w:t xml:space="preserve"> </w:t>
      </w:r>
      <w:r w:rsidR="0054481C" w:rsidRPr="003A2EB4">
        <w:t>People, whānau and families impacted by family violence and sexual violence get help early and are safe and supported</w:t>
      </w:r>
      <w:r w:rsidRPr="003A2EB4">
        <w:rPr>
          <w:lang w:eastAsia="ja-JP"/>
        </w:rPr>
        <w:br/>
      </w:r>
      <w:r w:rsidRPr="003A2EB4">
        <w:rPr>
          <w:b/>
          <w:bCs/>
          <w:lang w:eastAsia="ja-JP"/>
        </w:rPr>
        <w:t>Short term outcome:</w:t>
      </w:r>
      <w:r w:rsidRPr="003A2EB4">
        <w:rPr>
          <w:lang w:eastAsia="ja-JP"/>
        </w:rPr>
        <w:t xml:space="preserve"> </w:t>
      </w:r>
      <w:r w:rsidR="0054481C" w:rsidRPr="003A2EB4">
        <w:t>Improved understanding and response from all government agencies for people, whānau and families impacted by family violence and sexual violence</w:t>
      </w:r>
      <w:r w:rsidRPr="003A2EB4">
        <w:rPr>
          <w:lang w:eastAsia="ja-JP"/>
        </w:rPr>
        <w:br/>
      </w:r>
      <w:r w:rsidRPr="003A2EB4">
        <w:rPr>
          <w:b/>
          <w:bCs/>
          <w:lang w:eastAsia="ja-JP"/>
        </w:rPr>
        <w:t>Five-year focus areas:</w:t>
      </w:r>
      <w:r w:rsidRPr="003A2EB4">
        <w:rPr>
          <w:lang w:eastAsia="ja-JP"/>
        </w:rPr>
        <w:t xml:space="preserve"> </w:t>
      </w:r>
      <w:r w:rsidR="0054481C" w:rsidRPr="003A2EB4">
        <w:rPr>
          <w:lang w:eastAsia="ja-JP"/>
        </w:rPr>
        <w:t>Investing and commissioning well; Keeping people safe</w:t>
      </w:r>
    </w:p>
    <w:p w14:paraId="4CD30218" w14:textId="5475EFF6" w:rsidR="00CD517D" w:rsidRPr="003A2EB4" w:rsidRDefault="00CD517D" w:rsidP="00CD517D">
      <w:pPr>
        <w:rPr>
          <w:lang w:eastAsia="ja-JP"/>
        </w:rPr>
      </w:pPr>
      <w:r w:rsidRPr="003A2EB4">
        <w:rPr>
          <w:b/>
          <w:bCs/>
          <w:lang w:eastAsia="ja-JP"/>
        </w:rPr>
        <w:t xml:space="preserve">Long term outcome: </w:t>
      </w:r>
      <w:r w:rsidR="0054481C" w:rsidRPr="003A2EB4">
        <w:t>People, whānau and families impacted by family violence and sexual violence get help early and are safe and supported</w:t>
      </w:r>
      <w:r w:rsidRPr="003A2EB4">
        <w:rPr>
          <w:lang w:eastAsia="ja-JP"/>
        </w:rPr>
        <w:br/>
      </w:r>
      <w:r w:rsidRPr="003A2EB4">
        <w:rPr>
          <w:b/>
          <w:bCs/>
          <w:lang w:eastAsia="ja-JP"/>
        </w:rPr>
        <w:t>Short term outcome:</w:t>
      </w:r>
      <w:r w:rsidRPr="003A2EB4">
        <w:rPr>
          <w:lang w:eastAsia="ja-JP"/>
        </w:rPr>
        <w:t xml:space="preserve"> </w:t>
      </w:r>
      <w:r w:rsidR="0054481C" w:rsidRPr="003A2EB4">
        <w:t>More people, whānau and families feel safe and supported after accessing a specialist service or support</w:t>
      </w:r>
      <w:r w:rsidRPr="003A2EB4">
        <w:rPr>
          <w:lang w:eastAsia="ja-JP"/>
        </w:rPr>
        <w:br/>
      </w:r>
      <w:r w:rsidRPr="003A2EB4">
        <w:rPr>
          <w:b/>
          <w:bCs/>
          <w:lang w:eastAsia="ja-JP"/>
        </w:rPr>
        <w:t>Five-year focus areas:</w:t>
      </w:r>
      <w:r w:rsidRPr="003A2EB4">
        <w:rPr>
          <w:lang w:eastAsia="ja-JP"/>
        </w:rPr>
        <w:t xml:space="preserve"> </w:t>
      </w:r>
      <w:r w:rsidR="0054481C" w:rsidRPr="003A2EB4">
        <w:rPr>
          <w:lang w:eastAsia="ja-JP"/>
        </w:rPr>
        <w:t>Investing and commissioning well; Keeping people safe</w:t>
      </w:r>
    </w:p>
    <w:p w14:paraId="6AD26093" w14:textId="1B66BD4E" w:rsidR="00CD517D" w:rsidRPr="003A2EB4" w:rsidRDefault="00CD517D" w:rsidP="00CD517D">
      <w:pPr>
        <w:rPr>
          <w:lang w:eastAsia="ja-JP"/>
        </w:rPr>
      </w:pPr>
      <w:r w:rsidRPr="003A2EB4">
        <w:rPr>
          <w:b/>
          <w:bCs/>
          <w:lang w:eastAsia="ja-JP"/>
        </w:rPr>
        <w:t>Long term outcome:</w:t>
      </w:r>
      <w:r w:rsidRPr="003A2EB4">
        <w:rPr>
          <w:lang w:eastAsia="ja-JP"/>
        </w:rPr>
        <w:t xml:space="preserve"> </w:t>
      </w:r>
      <w:r w:rsidR="00B95CED" w:rsidRPr="003A2EB4">
        <w:t>People who use violence are held accountable and supported to change their behaviour</w:t>
      </w:r>
      <w:r w:rsidRPr="003A2EB4">
        <w:rPr>
          <w:lang w:eastAsia="ja-JP"/>
        </w:rPr>
        <w:br/>
      </w:r>
      <w:r w:rsidRPr="003A2EB4">
        <w:rPr>
          <w:b/>
          <w:bCs/>
          <w:lang w:eastAsia="ja-JP"/>
        </w:rPr>
        <w:t>Short term outcome:</w:t>
      </w:r>
      <w:r w:rsidRPr="003A2EB4">
        <w:rPr>
          <w:lang w:eastAsia="ja-JP"/>
        </w:rPr>
        <w:t xml:space="preserve"> </w:t>
      </w:r>
      <w:r w:rsidR="00B95CED" w:rsidRPr="003A2EB4">
        <w:t>More people who use or have used violence can access effective early services and supports</w:t>
      </w:r>
      <w:r w:rsidRPr="003A2EB4">
        <w:rPr>
          <w:lang w:eastAsia="ja-JP"/>
        </w:rPr>
        <w:br/>
      </w:r>
      <w:r w:rsidRPr="003A2EB4">
        <w:rPr>
          <w:b/>
          <w:bCs/>
          <w:lang w:eastAsia="ja-JP"/>
        </w:rPr>
        <w:t>Five-year focus areas:</w:t>
      </w:r>
      <w:r w:rsidRPr="003A2EB4">
        <w:rPr>
          <w:lang w:eastAsia="ja-JP"/>
        </w:rPr>
        <w:t xml:space="preserve"> </w:t>
      </w:r>
      <w:r w:rsidR="0017051E" w:rsidRPr="003A2EB4">
        <w:rPr>
          <w:lang w:eastAsia="ja-JP"/>
        </w:rPr>
        <w:t>Investing and commissioning well; Stopping violence</w:t>
      </w:r>
    </w:p>
    <w:p w14:paraId="2A380E4A" w14:textId="42401E51" w:rsidR="00CD517D" w:rsidRPr="003A2EB4" w:rsidRDefault="00CD517D" w:rsidP="00CD517D">
      <w:pPr>
        <w:rPr>
          <w:lang w:eastAsia="ja-JP"/>
        </w:rPr>
      </w:pPr>
      <w:r w:rsidRPr="003A2EB4">
        <w:rPr>
          <w:b/>
          <w:bCs/>
          <w:lang w:eastAsia="ja-JP"/>
        </w:rPr>
        <w:lastRenderedPageBreak/>
        <w:t xml:space="preserve">Long term outcome: </w:t>
      </w:r>
      <w:r w:rsidR="00B95CED" w:rsidRPr="003A2EB4">
        <w:t>People who use violence are held accountable and supported to change their behaviour</w:t>
      </w:r>
      <w:r w:rsidRPr="003A2EB4">
        <w:rPr>
          <w:lang w:eastAsia="ja-JP"/>
        </w:rPr>
        <w:br/>
      </w:r>
      <w:r w:rsidRPr="003A2EB4">
        <w:rPr>
          <w:b/>
          <w:bCs/>
          <w:lang w:eastAsia="ja-JP"/>
        </w:rPr>
        <w:t>Short term outcome:</w:t>
      </w:r>
      <w:r w:rsidRPr="003A2EB4">
        <w:rPr>
          <w:lang w:eastAsia="ja-JP"/>
        </w:rPr>
        <w:t xml:space="preserve"> </w:t>
      </w:r>
      <w:r w:rsidR="00B95CED" w:rsidRPr="003A2EB4">
        <w:t>More people who use or have used violence are held accountable</w:t>
      </w:r>
      <w:r w:rsidRPr="003A2EB4">
        <w:rPr>
          <w:lang w:eastAsia="ja-JP"/>
        </w:rPr>
        <w:br/>
      </w:r>
      <w:r w:rsidRPr="003A2EB4">
        <w:rPr>
          <w:b/>
          <w:bCs/>
          <w:lang w:eastAsia="ja-JP"/>
        </w:rPr>
        <w:t>Five-year focus areas:</w:t>
      </w:r>
      <w:r w:rsidRPr="003A2EB4">
        <w:rPr>
          <w:lang w:eastAsia="ja-JP"/>
        </w:rPr>
        <w:t xml:space="preserve"> </w:t>
      </w:r>
      <w:r w:rsidR="0017051E" w:rsidRPr="003A2EB4">
        <w:rPr>
          <w:lang w:eastAsia="ja-JP"/>
        </w:rPr>
        <w:t>Investing and commissioning well; Keeping people safe; Stopping violence</w:t>
      </w:r>
    </w:p>
    <w:p w14:paraId="3926CE96" w14:textId="311BF6CD" w:rsidR="00CD517D" w:rsidRPr="003A2EB4" w:rsidRDefault="00CD517D" w:rsidP="00CD517D">
      <w:pPr>
        <w:rPr>
          <w:lang w:eastAsia="ja-JP"/>
        </w:rPr>
      </w:pPr>
      <w:r w:rsidRPr="003A2EB4">
        <w:rPr>
          <w:b/>
          <w:bCs/>
          <w:lang w:eastAsia="ja-JP"/>
        </w:rPr>
        <w:t>Long term outcome:</w:t>
      </w:r>
      <w:r w:rsidRPr="003A2EB4">
        <w:rPr>
          <w:lang w:eastAsia="ja-JP"/>
        </w:rPr>
        <w:t xml:space="preserve"> </w:t>
      </w:r>
      <w:r w:rsidR="00B95CED" w:rsidRPr="003A2EB4">
        <w:t>People who use violence are held accountable and supported to change their behaviour</w:t>
      </w:r>
      <w:r w:rsidRPr="003A2EB4">
        <w:rPr>
          <w:lang w:eastAsia="ja-JP"/>
        </w:rPr>
        <w:br/>
      </w:r>
      <w:r w:rsidRPr="003A2EB4">
        <w:rPr>
          <w:b/>
          <w:bCs/>
          <w:lang w:eastAsia="ja-JP"/>
        </w:rPr>
        <w:t>Short term outcome:</w:t>
      </w:r>
      <w:r w:rsidRPr="003A2EB4">
        <w:rPr>
          <w:lang w:eastAsia="ja-JP"/>
        </w:rPr>
        <w:t xml:space="preserve"> </w:t>
      </w:r>
      <w:r w:rsidR="00B95CED" w:rsidRPr="003A2EB4">
        <w:t>Less family violence and sexual violence reoffending</w:t>
      </w:r>
      <w:r w:rsidRPr="003A2EB4">
        <w:rPr>
          <w:lang w:eastAsia="ja-JP"/>
        </w:rPr>
        <w:br/>
      </w:r>
      <w:r w:rsidRPr="003A2EB4">
        <w:rPr>
          <w:b/>
          <w:bCs/>
          <w:lang w:eastAsia="ja-JP"/>
        </w:rPr>
        <w:t>Five-year focus areas:</w:t>
      </w:r>
      <w:r w:rsidRPr="003A2EB4">
        <w:rPr>
          <w:lang w:eastAsia="ja-JP"/>
        </w:rPr>
        <w:t xml:space="preserve"> </w:t>
      </w:r>
      <w:r w:rsidR="0017051E" w:rsidRPr="003A2EB4">
        <w:rPr>
          <w:lang w:eastAsia="ja-JP"/>
        </w:rPr>
        <w:t>Investing and commissioning well; Keeping people safe; Stopping violence</w:t>
      </w:r>
    </w:p>
    <w:p w14:paraId="53CA0E21" w14:textId="71827963" w:rsidR="00CD517D" w:rsidRPr="003A2EB4" w:rsidRDefault="00CD517D" w:rsidP="00CD517D">
      <w:pPr>
        <w:rPr>
          <w:lang w:eastAsia="ja-JP"/>
        </w:rPr>
      </w:pPr>
      <w:r w:rsidRPr="003A2EB4">
        <w:rPr>
          <w:b/>
          <w:bCs/>
          <w:lang w:eastAsia="ja-JP"/>
        </w:rPr>
        <w:t>Long term outcome:</w:t>
      </w:r>
      <w:r w:rsidRPr="003A2EB4">
        <w:rPr>
          <w:lang w:eastAsia="ja-JP"/>
        </w:rPr>
        <w:t xml:space="preserve"> </w:t>
      </w:r>
      <w:r w:rsidR="0017051E" w:rsidRPr="003A2EB4">
        <w:t>People, whānau and families are supported to heal and recover in ways that work best for them</w:t>
      </w:r>
      <w:r w:rsidRPr="003A2EB4">
        <w:rPr>
          <w:lang w:eastAsia="ja-JP"/>
        </w:rPr>
        <w:br/>
      </w:r>
      <w:r w:rsidRPr="003A2EB4">
        <w:rPr>
          <w:b/>
          <w:bCs/>
          <w:lang w:eastAsia="ja-JP"/>
        </w:rPr>
        <w:t>Short term outcome:</w:t>
      </w:r>
      <w:r w:rsidRPr="003A2EB4">
        <w:rPr>
          <w:lang w:eastAsia="ja-JP"/>
        </w:rPr>
        <w:t xml:space="preserve"> </w:t>
      </w:r>
      <w:r w:rsidR="002265D7" w:rsidRPr="003A2EB4">
        <w:t>More people, whānau and families can access a range of effective healing responses across their life course</w:t>
      </w:r>
      <w:r w:rsidRPr="003A2EB4">
        <w:rPr>
          <w:lang w:eastAsia="ja-JP"/>
        </w:rPr>
        <w:br/>
      </w:r>
      <w:r w:rsidRPr="003A2EB4">
        <w:rPr>
          <w:b/>
          <w:bCs/>
          <w:lang w:eastAsia="ja-JP"/>
        </w:rPr>
        <w:t>Five-year focus area:</w:t>
      </w:r>
      <w:r w:rsidRPr="003A2EB4">
        <w:rPr>
          <w:lang w:eastAsia="ja-JP"/>
        </w:rPr>
        <w:t xml:space="preserve"> </w:t>
      </w:r>
      <w:r w:rsidR="002265D7" w:rsidRPr="003A2EB4">
        <w:rPr>
          <w:lang w:eastAsia="ja-JP"/>
        </w:rPr>
        <w:t>Investing and commissioning well</w:t>
      </w:r>
    </w:p>
    <w:p w14:paraId="68256301" w14:textId="7B8A5F29" w:rsidR="00CD517D" w:rsidRPr="003A2EB4" w:rsidRDefault="00CD517D" w:rsidP="00CD517D">
      <w:pPr>
        <w:rPr>
          <w:lang w:eastAsia="ja-JP"/>
        </w:rPr>
      </w:pPr>
      <w:r w:rsidRPr="003A2EB4">
        <w:rPr>
          <w:b/>
          <w:bCs/>
          <w:lang w:eastAsia="ja-JP"/>
        </w:rPr>
        <w:t>Long term outcome:</w:t>
      </w:r>
      <w:r w:rsidRPr="003A2EB4">
        <w:rPr>
          <w:lang w:eastAsia="ja-JP"/>
        </w:rPr>
        <w:t xml:space="preserve"> </w:t>
      </w:r>
      <w:r w:rsidR="0017051E" w:rsidRPr="003A2EB4">
        <w:t>People, whānau and families are supported to heal and recover in ways that work best for them</w:t>
      </w:r>
      <w:r w:rsidRPr="003A2EB4">
        <w:rPr>
          <w:lang w:eastAsia="ja-JP"/>
        </w:rPr>
        <w:br/>
      </w:r>
      <w:r w:rsidRPr="003A2EB4">
        <w:rPr>
          <w:b/>
          <w:bCs/>
          <w:lang w:eastAsia="ja-JP"/>
        </w:rPr>
        <w:t>Short term outcome:</w:t>
      </w:r>
      <w:r w:rsidRPr="003A2EB4">
        <w:rPr>
          <w:lang w:eastAsia="ja-JP"/>
        </w:rPr>
        <w:t xml:space="preserve"> </w:t>
      </w:r>
      <w:r w:rsidR="002265D7" w:rsidRPr="003A2EB4">
        <w:t>Improved healing and recovery after accessing a family violence and/or sexual violence response</w:t>
      </w:r>
      <w:r w:rsidRPr="003A2EB4">
        <w:rPr>
          <w:lang w:eastAsia="ja-JP"/>
        </w:rPr>
        <w:br/>
      </w:r>
      <w:r w:rsidRPr="003A2EB4">
        <w:rPr>
          <w:b/>
          <w:bCs/>
          <w:lang w:eastAsia="ja-JP"/>
        </w:rPr>
        <w:t>Five-year focus area:</w:t>
      </w:r>
      <w:r w:rsidRPr="003A2EB4">
        <w:rPr>
          <w:lang w:eastAsia="ja-JP"/>
        </w:rPr>
        <w:t xml:space="preserve"> </w:t>
      </w:r>
      <w:r w:rsidR="002265D7" w:rsidRPr="003A2EB4">
        <w:rPr>
          <w:lang w:eastAsia="ja-JP"/>
        </w:rPr>
        <w:t>Stopping violence</w:t>
      </w:r>
    </w:p>
    <w:p w14:paraId="6E1720DC" w14:textId="099B6CFF" w:rsidR="00CD517D" w:rsidRPr="003A2EB4" w:rsidRDefault="00CD517D" w:rsidP="00CD517D">
      <w:pPr>
        <w:rPr>
          <w:lang w:eastAsia="ja-JP"/>
        </w:rPr>
      </w:pPr>
      <w:r w:rsidRPr="003A2EB4">
        <w:rPr>
          <w:b/>
          <w:bCs/>
          <w:lang w:eastAsia="ja-JP"/>
        </w:rPr>
        <w:t>Long term outcome:</w:t>
      </w:r>
      <w:r w:rsidRPr="003A2EB4">
        <w:rPr>
          <w:lang w:eastAsia="ja-JP"/>
        </w:rPr>
        <w:t xml:space="preserve"> </w:t>
      </w:r>
      <w:r w:rsidR="00650844" w:rsidRPr="003A2EB4">
        <w:t>Improved quality and use of information to support evidence-based practice, policy and investment decisions</w:t>
      </w:r>
      <w:r w:rsidRPr="003A2EB4">
        <w:rPr>
          <w:lang w:eastAsia="ja-JP"/>
        </w:rPr>
        <w:br/>
      </w:r>
      <w:r w:rsidRPr="003A2EB4">
        <w:rPr>
          <w:b/>
          <w:bCs/>
          <w:lang w:eastAsia="ja-JP"/>
        </w:rPr>
        <w:t>Short term outcome:</w:t>
      </w:r>
      <w:r w:rsidRPr="003A2EB4">
        <w:rPr>
          <w:lang w:eastAsia="ja-JP"/>
        </w:rPr>
        <w:t xml:space="preserve"> </w:t>
      </w:r>
      <w:r w:rsidR="002F409E" w:rsidRPr="003A2EB4">
        <w:t>More quality information, developed in partnership with tangata whenua, communities and specialist sectors, strengthens practice, monitoring and evidence-based decision-making</w:t>
      </w:r>
      <w:r w:rsidRPr="003A2EB4">
        <w:rPr>
          <w:lang w:eastAsia="ja-JP"/>
        </w:rPr>
        <w:br/>
      </w:r>
      <w:r w:rsidRPr="003A2EB4">
        <w:rPr>
          <w:b/>
          <w:bCs/>
          <w:lang w:eastAsia="ja-JP"/>
        </w:rPr>
        <w:t xml:space="preserve">Five-year focus area: </w:t>
      </w:r>
      <w:r w:rsidR="002F409E" w:rsidRPr="003A2EB4">
        <w:rPr>
          <w:lang w:eastAsia="ja-JP"/>
        </w:rPr>
        <w:t>Keeping people safe</w:t>
      </w:r>
    </w:p>
    <w:p w14:paraId="4D01685E" w14:textId="7B93CC26" w:rsidR="00CD517D" w:rsidRPr="003A2EB4" w:rsidRDefault="00CD517D" w:rsidP="00CD517D">
      <w:pPr>
        <w:rPr>
          <w:lang w:eastAsia="ja-JP"/>
        </w:rPr>
      </w:pPr>
      <w:r w:rsidRPr="003A2EB4">
        <w:rPr>
          <w:b/>
          <w:bCs/>
          <w:lang w:eastAsia="ja-JP"/>
        </w:rPr>
        <w:t>Long term outcome:</w:t>
      </w:r>
      <w:r w:rsidRPr="003A2EB4">
        <w:rPr>
          <w:lang w:eastAsia="ja-JP"/>
        </w:rPr>
        <w:t xml:space="preserve"> </w:t>
      </w:r>
      <w:r w:rsidR="00650844" w:rsidRPr="003A2EB4">
        <w:t>Improved quality and use of information to support evidence-based practice, policy and investment decisions</w:t>
      </w:r>
      <w:r w:rsidRPr="003A2EB4">
        <w:rPr>
          <w:lang w:eastAsia="ja-JP"/>
        </w:rPr>
        <w:br/>
      </w:r>
      <w:r w:rsidRPr="003A2EB4">
        <w:rPr>
          <w:b/>
          <w:bCs/>
          <w:lang w:eastAsia="ja-JP"/>
        </w:rPr>
        <w:t>Short term outcome:</w:t>
      </w:r>
      <w:r w:rsidRPr="003A2EB4">
        <w:rPr>
          <w:lang w:eastAsia="ja-JP"/>
        </w:rPr>
        <w:t xml:space="preserve"> </w:t>
      </w:r>
      <w:r w:rsidR="002F409E" w:rsidRPr="003A2EB4">
        <w:t>Improved use of community-validated, and lived experience evidence in decision-making on investment and actions needed</w:t>
      </w:r>
      <w:r w:rsidRPr="003A2EB4">
        <w:rPr>
          <w:lang w:eastAsia="ja-JP"/>
        </w:rPr>
        <w:br/>
      </w:r>
      <w:r w:rsidRPr="003A2EB4">
        <w:rPr>
          <w:b/>
          <w:bCs/>
          <w:lang w:eastAsia="ja-JP"/>
        </w:rPr>
        <w:t>Five-year focus area</w:t>
      </w:r>
      <w:r w:rsidR="002F409E" w:rsidRPr="003A2EB4">
        <w:rPr>
          <w:b/>
          <w:bCs/>
          <w:lang w:eastAsia="ja-JP"/>
        </w:rPr>
        <w:t>s</w:t>
      </w:r>
      <w:r w:rsidRPr="003A2EB4">
        <w:rPr>
          <w:b/>
          <w:bCs/>
          <w:lang w:eastAsia="ja-JP"/>
        </w:rPr>
        <w:t>:</w:t>
      </w:r>
      <w:r w:rsidRPr="003A2EB4">
        <w:rPr>
          <w:lang w:eastAsia="ja-JP"/>
        </w:rPr>
        <w:t xml:space="preserve"> </w:t>
      </w:r>
      <w:r w:rsidR="00006882">
        <w:rPr>
          <w:lang w:eastAsia="ja-JP"/>
        </w:rPr>
        <w:t>Indirect contribution</w:t>
      </w:r>
      <w:r w:rsidR="00EE3D6C">
        <w:rPr>
          <w:lang w:eastAsia="ja-JP"/>
        </w:rPr>
        <w:t xml:space="preserve"> to all focus a</w:t>
      </w:r>
      <w:r w:rsidR="00B10434">
        <w:rPr>
          <w:lang w:eastAsia="ja-JP"/>
        </w:rPr>
        <w:t>r</w:t>
      </w:r>
      <w:r w:rsidR="00EE3D6C">
        <w:rPr>
          <w:lang w:eastAsia="ja-JP"/>
        </w:rPr>
        <w:t>eas</w:t>
      </w:r>
    </w:p>
    <w:p w14:paraId="1598CE31" w14:textId="77777777" w:rsidR="00220264" w:rsidRDefault="00220264">
      <w:pPr>
        <w:autoSpaceDE/>
        <w:autoSpaceDN/>
        <w:adjustRightInd/>
        <w:spacing w:before="0" w:after="160" w:line="259" w:lineRule="auto"/>
        <w:rPr>
          <w:rFonts w:eastAsia="Times New Roman"/>
          <w:b/>
          <w:color w:val="293D8A"/>
          <w:sz w:val="32"/>
          <w:szCs w:val="32"/>
          <w:lang w:eastAsia="ja-JP"/>
          <w14:ligatures w14:val="none"/>
        </w:rPr>
      </w:pPr>
      <w:r>
        <w:br w:type="page"/>
      </w:r>
    </w:p>
    <w:p w14:paraId="54382562" w14:textId="475CCCCB" w:rsidR="008327F9" w:rsidRPr="003A2EB4" w:rsidRDefault="00516645" w:rsidP="00B46FDE">
      <w:pPr>
        <w:pStyle w:val="Heading1"/>
      </w:pPr>
      <w:r w:rsidRPr="003A2EB4">
        <w:lastRenderedPageBreak/>
        <w:t>Appendix 2: Roadmap for delivery</w:t>
      </w:r>
    </w:p>
    <w:p w14:paraId="246F0AB8" w14:textId="18A89A1E" w:rsidR="00516645" w:rsidRPr="003A2EB4" w:rsidRDefault="00B46FDE" w:rsidP="00B46FDE">
      <w:pPr>
        <w:pStyle w:val="Heading2"/>
      </w:pPr>
      <w:r w:rsidRPr="003A2EB4">
        <w:t>Investing and commissioning well</w:t>
      </w:r>
    </w:p>
    <w:p w14:paraId="764AA24C" w14:textId="3B82B568" w:rsidR="00516645" w:rsidRPr="003A2EB4" w:rsidRDefault="00B46FDE" w:rsidP="008A5FA0">
      <w:pPr>
        <w:pStyle w:val="Heading3"/>
      </w:pPr>
      <w:r w:rsidRPr="003A2EB4">
        <w:t>Investment prioritisation</w:t>
      </w:r>
    </w:p>
    <w:p w14:paraId="08AA4E20" w14:textId="280ED18A" w:rsidR="00B46FDE" w:rsidRPr="003A2EB4" w:rsidRDefault="00B46FDE" w:rsidP="00A3456B">
      <w:pPr>
        <w:pStyle w:val="ListParagraph"/>
        <w:numPr>
          <w:ilvl w:val="0"/>
          <w:numId w:val="23"/>
        </w:numPr>
      </w:pPr>
      <w:r w:rsidRPr="003A2EB4">
        <w:t xml:space="preserve">Q1 </w:t>
      </w:r>
      <w:r w:rsidR="00B968FF" w:rsidRPr="003A2EB4">
        <w:t>April</w:t>
      </w:r>
      <w:r w:rsidRPr="003A2EB4">
        <w:t>/</w:t>
      </w:r>
      <w:r w:rsidR="00B968FF" w:rsidRPr="003A2EB4">
        <w:t>June</w:t>
      </w:r>
      <w:r w:rsidRPr="003A2EB4">
        <w:t xml:space="preserve"> 2025</w:t>
      </w:r>
      <w:r w:rsidR="00804191" w:rsidRPr="003A2EB4">
        <w:t>: Phase 1 review and reprioritisation of investment complete</w:t>
      </w:r>
    </w:p>
    <w:p w14:paraId="38CAD124" w14:textId="434806E8" w:rsidR="00804191" w:rsidRPr="003A2EB4" w:rsidRDefault="00804191" w:rsidP="00A3456B">
      <w:pPr>
        <w:pStyle w:val="ListParagraph"/>
        <w:numPr>
          <w:ilvl w:val="0"/>
          <w:numId w:val="23"/>
        </w:numPr>
      </w:pPr>
      <w:r w:rsidRPr="003A2EB4">
        <w:t xml:space="preserve">Q1 </w:t>
      </w:r>
      <w:r w:rsidR="00B968FF" w:rsidRPr="003A2EB4">
        <w:t>April</w:t>
      </w:r>
      <w:r w:rsidRPr="003A2EB4">
        <w:t>/</w:t>
      </w:r>
      <w:r w:rsidR="00B968FF" w:rsidRPr="003A2EB4">
        <w:t>June</w:t>
      </w:r>
      <w:r w:rsidRPr="003A2EB4">
        <w:t xml:space="preserve"> 2026: Phase 2 </w:t>
      </w:r>
      <w:r w:rsidR="00573C74" w:rsidRPr="003A2EB4">
        <w:t>f</w:t>
      </w:r>
      <w:r w:rsidRPr="003A2EB4">
        <w:t>ull baseline review and reprioritisation of investment complete</w:t>
      </w:r>
    </w:p>
    <w:p w14:paraId="44E46F85" w14:textId="71B84F7B" w:rsidR="00B46FDE" w:rsidRPr="003A2EB4" w:rsidRDefault="00B46FDE" w:rsidP="008A5FA0">
      <w:pPr>
        <w:pStyle w:val="Heading3"/>
        <w:rPr>
          <w:lang w:eastAsia="ja-JP"/>
        </w:rPr>
      </w:pPr>
      <w:r w:rsidRPr="003A2EB4">
        <w:t>Contracting differently for better outcomes</w:t>
      </w:r>
    </w:p>
    <w:p w14:paraId="4C1F7518" w14:textId="15158B62" w:rsidR="005567CE" w:rsidRPr="003A2EB4" w:rsidRDefault="003C7DD7" w:rsidP="003C7DD7">
      <w:pPr>
        <w:pStyle w:val="ListParagraph"/>
        <w:numPr>
          <w:ilvl w:val="0"/>
          <w:numId w:val="23"/>
        </w:numPr>
        <w:rPr>
          <w:lang w:eastAsia="ja-JP"/>
        </w:rPr>
      </w:pPr>
      <w:r w:rsidRPr="003A2EB4">
        <w:t xml:space="preserve">Q3 </w:t>
      </w:r>
      <w:r w:rsidR="00B968FF" w:rsidRPr="003A2EB4">
        <w:t>October</w:t>
      </w:r>
      <w:r w:rsidRPr="003A2EB4">
        <w:t>/</w:t>
      </w:r>
      <w:r w:rsidR="00B968FF" w:rsidRPr="003A2EB4">
        <w:t>December</w:t>
      </w:r>
      <w:r w:rsidRPr="003A2EB4">
        <w:t xml:space="preserve"> 2025: Review contract alignment options; </w:t>
      </w:r>
      <w:r w:rsidR="00573C74" w:rsidRPr="003A2EB4">
        <w:t>p</w:t>
      </w:r>
      <w:r w:rsidRPr="003A2EB4">
        <w:t>ilot outcomes based contract in one location with one provider</w:t>
      </w:r>
    </w:p>
    <w:p w14:paraId="33AA9888" w14:textId="1336A815" w:rsidR="003C7DD7" w:rsidRPr="003A2EB4" w:rsidRDefault="003C7DD7" w:rsidP="003C7DD7">
      <w:pPr>
        <w:pStyle w:val="ListParagraph"/>
        <w:numPr>
          <w:ilvl w:val="0"/>
          <w:numId w:val="23"/>
        </w:numPr>
        <w:rPr>
          <w:lang w:eastAsia="ja-JP"/>
        </w:rPr>
      </w:pPr>
      <w:r w:rsidRPr="003A2EB4">
        <w:t xml:space="preserve">Q2 </w:t>
      </w:r>
      <w:r w:rsidR="00B968FF" w:rsidRPr="003A2EB4">
        <w:t>July</w:t>
      </w:r>
      <w:r w:rsidRPr="003A2EB4">
        <w:t>/</w:t>
      </w:r>
      <w:r w:rsidR="00B968FF" w:rsidRPr="003A2EB4">
        <w:t>September</w:t>
      </w:r>
      <w:r w:rsidRPr="003A2EB4">
        <w:t xml:space="preserve"> 2026</w:t>
      </w:r>
      <w:r w:rsidR="00DE73BC" w:rsidRPr="003A2EB4">
        <w:t>: Aligned contract reporting</w:t>
      </w:r>
    </w:p>
    <w:p w14:paraId="4C73CA55" w14:textId="5CCD042F" w:rsidR="00DE73BC" w:rsidRPr="003A2EB4" w:rsidRDefault="006E33F6" w:rsidP="006E33F6">
      <w:pPr>
        <w:pStyle w:val="Heading2"/>
      </w:pPr>
      <w:r w:rsidRPr="003A2EB4">
        <w:t>Keeping people safe</w:t>
      </w:r>
    </w:p>
    <w:p w14:paraId="4B742382" w14:textId="1DFF2EB6" w:rsidR="00DE73BC" w:rsidRPr="003A2EB4" w:rsidRDefault="006E33F6" w:rsidP="008A5FA0">
      <w:pPr>
        <w:pStyle w:val="Heading3"/>
      </w:pPr>
      <w:r w:rsidRPr="003A2EB4">
        <w:t>Governance, leadership, and ways of working</w:t>
      </w:r>
    </w:p>
    <w:p w14:paraId="0FDC6B76" w14:textId="04B02B40" w:rsidR="006E33F6" w:rsidRPr="003A2EB4" w:rsidRDefault="00CA37D0" w:rsidP="006E33F6">
      <w:pPr>
        <w:pStyle w:val="ListParagraph"/>
        <w:numPr>
          <w:ilvl w:val="0"/>
          <w:numId w:val="23"/>
        </w:numPr>
      </w:pPr>
      <w:r w:rsidRPr="003A2EB4">
        <w:t xml:space="preserve">Q1 </w:t>
      </w:r>
      <w:r w:rsidR="00B968FF" w:rsidRPr="003A2EB4">
        <w:t>April</w:t>
      </w:r>
      <w:r w:rsidRPr="003A2EB4">
        <w:t>/</w:t>
      </w:r>
      <w:r w:rsidR="00B968FF" w:rsidRPr="003A2EB4">
        <w:t>June</w:t>
      </w:r>
      <w:r w:rsidRPr="003A2EB4">
        <w:t xml:space="preserve"> 2025</w:t>
      </w:r>
      <w:r w:rsidR="00B16C99" w:rsidRPr="003A2EB4">
        <w:t>: 12-month Local Improvement Plans produced (</w:t>
      </w:r>
      <w:r w:rsidR="00573C74" w:rsidRPr="003A2EB4">
        <w:t>p</w:t>
      </w:r>
      <w:r w:rsidR="00B16C99" w:rsidRPr="003A2EB4">
        <w:t>hase 1 localities)</w:t>
      </w:r>
    </w:p>
    <w:p w14:paraId="10826597" w14:textId="11F4DABE" w:rsidR="00B16C99" w:rsidRPr="003A2EB4" w:rsidRDefault="00B16C99" w:rsidP="006E33F6">
      <w:pPr>
        <w:pStyle w:val="ListParagraph"/>
        <w:numPr>
          <w:ilvl w:val="0"/>
          <w:numId w:val="23"/>
        </w:numPr>
      </w:pPr>
      <w:r w:rsidRPr="003A2EB4">
        <w:t xml:space="preserve">Q2 </w:t>
      </w:r>
      <w:r w:rsidR="00B968FF" w:rsidRPr="003A2EB4">
        <w:t>July</w:t>
      </w:r>
      <w:r w:rsidRPr="003A2EB4">
        <w:t>/</w:t>
      </w:r>
      <w:r w:rsidR="00B968FF" w:rsidRPr="003A2EB4">
        <w:t>September</w:t>
      </w:r>
      <w:r w:rsidRPr="003A2EB4">
        <w:t xml:space="preserve"> 2025: 12-month Local Improvement Plan produced (phase 2 localities)</w:t>
      </w:r>
    </w:p>
    <w:p w14:paraId="5BD467D2" w14:textId="2EA871AA" w:rsidR="00B16C99" w:rsidRPr="003A2EB4" w:rsidRDefault="00B16C99" w:rsidP="006E33F6">
      <w:pPr>
        <w:pStyle w:val="ListParagraph"/>
        <w:numPr>
          <w:ilvl w:val="0"/>
          <w:numId w:val="23"/>
        </w:numPr>
      </w:pPr>
      <w:r w:rsidRPr="003A2EB4">
        <w:t xml:space="preserve">Q3 </w:t>
      </w:r>
      <w:r w:rsidR="00B968FF" w:rsidRPr="003A2EB4">
        <w:t>October</w:t>
      </w:r>
      <w:r w:rsidRPr="003A2EB4">
        <w:t>/</w:t>
      </w:r>
      <w:r w:rsidR="00B968FF" w:rsidRPr="003A2EB4">
        <w:t>December</w:t>
      </w:r>
      <w:r w:rsidRPr="003A2EB4">
        <w:t xml:space="preserve"> 2025: 12-month Local Improvement Plan produced (phase 3 localities)</w:t>
      </w:r>
    </w:p>
    <w:p w14:paraId="1BB8F1CB" w14:textId="2E9C4D1D" w:rsidR="006E33F6" w:rsidRPr="003A2EB4" w:rsidRDefault="006E33F6" w:rsidP="008A5FA0">
      <w:pPr>
        <w:pStyle w:val="Heading3"/>
      </w:pPr>
      <w:r w:rsidRPr="003A2EB4">
        <w:t>Integrated approach to managing high risk of death and serious injury</w:t>
      </w:r>
    </w:p>
    <w:p w14:paraId="1DF16348" w14:textId="72A2BB2F" w:rsidR="006E33F6" w:rsidRPr="003A2EB4" w:rsidRDefault="00970B79" w:rsidP="006E33F6">
      <w:pPr>
        <w:pStyle w:val="ListParagraph"/>
        <w:numPr>
          <w:ilvl w:val="0"/>
          <w:numId w:val="23"/>
        </w:numPr>
      </w:pPr>
      <w:r w:rsidRPr="003A2EB4">
        <w:t xml:space="preserve">Q3 </w:t>
      </w:r>
      <w:r w:rsidR="00B968FF" w:rsidRPr="003A2EB4">
        <w:t>September</w:t>
      </w:r>
      <w:r w:rsidRPr="003A2EB4">
        <w:t>/</w:t>
      </w:r>
      <w:r w:rsidR="00B968FF" w:rsidRPr="003A2EB4">
        <w:t>December</w:t>
      </w:r>
      <w:r w:rsidRPr="003A2EB4">
        <w:t xml:space="preserve"> 2024: </w:t>
      </w:r>
      <w:r w:rsidR="006318E1" w:rsidRPr="003A2EB4">
        <w:t>Accelerated outreach in place in two localities</w:t>
      </w:r>
    </w:p>
    <w:p w14:paraId="59E066E6" w14:textId="16EEFADE" w:rsidR="006318E1" w:rsidRPr="003A2EB4" w:rsidRDefault="006318E1" w:rsidP="006E33F6">
      <w:pPr>
        <w:pStyle w:val="ListParagraph"/>
        <w:numPr>
          <w:ilvl w:val="0"/>
          <w:numId w:val="23"/>
        </w:numPr>
      </w:pPr>
      <w:r w:rsidRPr="003A2EB4">
        <w:t xml:space="preserve">Q3 </w:t>
      </w:r>
      <w:r w:rsidR="00B968FF" w:rsidRPr="003A2EB4">
        <w:t>October</w:t>
      </w:r>
      <w:r w:rsidRPr="003A2EB4">
        <w:t>/</w:t>
      </w:r>
      <w:r w:rsidR="00B968FF" w:rsidRPr="003A2EB4">
        <w:t>December</w:t>
      </w:r>
      <w:r w:rsidRPr="003A2EB4">
        <w:t xml:space="preserve"> 2025: Integrated approach to managing risk in place in two localities</w:t>
      </w:r>
    </w:p>
    <w:p w14:paraId="008F7C05" w14:textId="6B04F9D3" w:rsidR="006E33F6" w:rsidRPr="003A2EB4" w:rsidRDefault="006E33F6" w:rsidP="008A5FA0">
      <w:pPr>
        <w:pStyle w:val="Heading3"/>
      </w:pPr>
      <w:r w:rsidRPr="003A2EB4">
        <w:t>Consistent approach to understanding and managing risk</w:t>
      </w:r>
    </w:p>
    <w:p w14:paraId="22E6A07A" w14:textId="477AB4C0" w:rsidR="006E33F6" w:rsidRPr="003A2EB4" w:rsidRDefault="006318E1" w:rsidP="006E33F6">
      <w:pPr>
        <w:pStyle w:val="ListParagraph"/>
        <w:numPr>
          <w:ilvl w:val="0"/>
          <w:numId w:val="23"/>
        </w:numPr>
      </w:pPr>
      <w:r w:rsidRPr="003A2EB4">
        <w:t xml:space="preserve">Q3 </w:t>
      </w:r>
      <w:r w:rsidR="00B968FF" w:rsidRPr="003A2EB4">
        <w:t>September</w:t>
      </w:r>
      <w:r w:rsidRPr="003A2EB4">
        <w:t>/</w:t>
      </w:r>
      <w:r w:rsidR="00B968FF" w:rsidRPr="003A2EB4">
        <w:t>December</w:t>
      </w:r>
      <w:r w:rsidRPr="003A2EB4">
        <w:t xml:space="preserve"> 2024: </w:t>
      </w:r>
      <w:r w:rsidR="00B01411" w:rsidRPr="003A2EB4">
        <w:t>Finalise Family Violence Risk and Safety Practice Framework</w:t>
      </w:r>
    </w:p>
    <w:p w14:paraId="7AE7C419" w14:textId="62554041" w:rsidR="00B01411" w:rsidRPr="003A2EB4" w:rsidRDefault="00B01411" w:rsidP="006E33F6">
      <w:pPr>
        <w:pStyle w:val="ListParagraph"/>
        <w:numPr>
          <w:ilvl w:val="0"/>
          <w:numId w:val="23"/>
        </w:numPr>
      </w:pPr>
      <w:r w:rsidRPr="003A2EB4">
        <w:t xml:space="preserve">Q2 </w:t>
      </w:r>
      <w:r w:rsidR="00B968FF" w:rsidRPr="003A2EB4">
        <w:t>July</w:t>
      </w:r>
      <w:r w:rsidRPr="003A2EB4">
        <w:t>/</w:t>
      </w:r>
      <w:r w:rsidR="00B968FF" w:rsidRPr="003A2EB4">
        <w:t>September</w:t>
      </w:r>
      <w:r w:rsidRPr="003A2EB4">
        <w:t xml:space="preserve"> 2025: Implementation of guidelines phase 1 (four localities)</w:t>
      </w:r>
    </w:p>
    <w:p w14:paraId="7F045862" w14:textId="270F40F0" w:rsidR="00C80F8F" w:rsidRPr="003A2EB4" w:rsidRDefault="00C80F8F" w:rsidP="006E33F6">
      <w:pPr>
        <w:pStyle w:val="ListParagraph"/>
        <w:numPr>
          <w:ilvl w:val="0"/>
          <w:numId w:val="23"/>
        </w:numPr>
      </w:pPr>
      <w:r w:rsidRPr="003A2EB4">
        <w:t xml:space="preserve">Q3 </w:t>
      </w:r>
      <w:r w:rsidR="00B968FF" w:rsidRPr="003A2EB4">
        <w:t>October</w:t>
      </w:r>
      <w:r w:rsidRPr="003A2EB4">
        <w:t>/</w:t>
      </w:r>
      <w:r w:rsidR="00B968FF" w:rsidRPr="003A2EB4">
        <w:t>December</w:t>
      </w:r>
      <w:r w:rsidRPr="003A2EB4">
        <w:t xml:space="preserve"> 2025: Implementation of guidelines phase 2 (four localities</w:t>
      </w:r>
    </w:p>
    <w:p w14:paraId="6DC22073" w14:textId="155C8A17" w:rsidR="00C80F8F" w:rsidRPr="003A2EB4" w:rsidRDefault="00C80F8F" w:rsidP="006E33F6">
      <w:pPr>
        <w:pStyle w:val="ListParagraph"/>
        <w:numPr>
          <w:ilvl w:val="0"/>
          <w:numId w:val="23"/>
        </w:numPr>
      </w:pPr>
      <w:r w:rsidRPr="003A2EB4">
        <w:t xml:space="preserve">Q1 </w:t>
      </w:r>
      <w:r w:rsidR="00B968FF" w:rsidRPr="003A2EB4">
        <w:t>April</w:t>
      </w:r>
      <w:r w:rsidRPr="003A2EB4">
        <w:t>/</w:t>
      </w:r>
      <w:r w:rsidR="00B968FF" w:rsidRPr="003A2EB4">
        <w:t>June</w:t>
      </w:r>
      <w:r w:rsidRPr="003A2EB4">
        <w:t xml:space="preserve"> 2026: Implementation of guidelines phase 3 (four localities)</w:t>
      </w:r>
    </w:p>
    <w:p w14:paraId="52BE6627" w14:textId="12575889" w:rsidR="006E33F6" w:rsidRPr="003A2EB4" w:rsidRDefault="006E33F6" w:rsidP="008A5FA0">
      <w:pPr>
        <w:pStyle w:val="Heading3"/>
      </w:pPr>
      <w:r w:rsidRPr="003A2EB4">
        <w:t>Improving information sharing systems</w:t>
      </w:r>
    </w:p>
    <w:p w14:paraId="7BB32709" w14:textId="336A9D9D" w:rsidR="006E33F6" w:rsidRPr="003A2EB4" w:rsidRDefault="005508A2" w:rsidP="006E33F6">
      <w:pPr>
        <w:pStyle w:val="ListParagraph"/>
        <w:numPr>
          <w:ilvl w:val="0"/>
          <w:numId w:val="23"/>
        </w:numPr>
      </w:pPr>
      <w:r w:rsidRPr="003A2EB4">
        <w:t xml:space="preserve">Q2 </w:t>
      </w:r>
      <w:r w:rsidR="00B968FF" w:rsidRPr="003A2EB4">
        <w:t>July</w:t>
      </w:r>
      <w:r w:rsidRPr="003A2EB4">
        <w:t>/</w:t>
      </w:r>
      <w:r w:rsidR="00B968FF" w:rsidRPr="003A2EB4">
        <w:t>September</w:t>
      </w:r>
      <w:r w:rsidRPr="003A2EB4">
        <w:t xml:space="preserve"> 2025: Core operating model for case management system complete</w:t>
      </w:r>
    </w:p>
    <w:p w14:paraId="523F3CF6" w14:textId="64C490D9" w:rsidR="00914598" w:rsidRPr="003A2EB4" w:rsidRDefault="00914598" w:rsidP="006E33F6">
      <w:pPr>
        <w:pStyle w:val="ListParagraph"/>
        <w:numPr>
          <w:ilvl w:val="0"/>
          <w:numId w:val="23"/>
        </w:numPr>
      </w:pPr>
      <w:r w:rsidRPr="003A2EB4">
        <w:t xml:space="preserve">Q3 </w:t>
      </w:r>
      <w:r w:rsidR="00B968FF" w:rsidRPr="003A2EB4">
        <w:t>October</w:t>
      </w:r>
      <w:r w:rsidRPr="003A2EB4">
        <w:t>/</w:t>
      </w:r>
      <w:r w:rsidR="00B968FF" w:rsidRPr="003A2EB4">
        <w:t>December</w:t>
      </w:r>
      <w:r w:rsidRPr="003A2EB4">
        <w:t xml:space="preserve"> 2025: Information sharing protocols agreed and proofs of concept commenced</w:t>
      </w:r>
    </w:p>
    <w:p w14:paraId="34B2C808" w14:textId="62718F4B" w:rsidR="00914598" w:rsidRPr="003A2EB4" w:rsidRDefault="00914598" w:rsidP="006E33F6">
      <w:pPr>
        <w:pStyle w:val="ListParagraph"/>
        <w:numPr>
          <w:ilvl w:val="0"/>
          <w:numId w:val="23"/>
        </w:numPr>
      </w:pPr>
      <w:r w:rsidRPr="003A2EB4">
        <w:t xml:space="preserve">Q1 </w:t>
      </w:r>
      <w:r w:rsidR="00B968FF" w:rsidRPr="003A2EB4">
        <w:t>April</w:t>
      </w:r>
      <w:r w:rsidRPr="003A2EB4">
        <w:t>/</w:t>
      </w:r>
      <w:r w:rsidR="00B968FF" w:rsidRPr="003A2EB4">
        <w:t>June</w:t>
      </w:r>
      <w:r w:rsidRPr="003A2EB4">
        <w:t xml:space="preserve"> 2026: Technology ecosystem design complete and procurement underway</w:t>
      </w:r>
    </w:p>
    <w:p w14:paraId="4266CD68" w14:textId="6F62AA76" w:rsidR="006E33F6" w:rsidRPr="003A2EB4" w:rsidRDefault="006E33F6" w:rsidP="008A5FA0">
      <w:pPr>
        <w:pStyle w:val="Heading3"/>
      </w:pPr>
      <w:r w:rsidRPr="003A2EB4">
        <w:t>Joined-up approaches for family violence and children and young people</w:t>
      </w:r>
    </w:p>
    <w:p w14:paraId="6FCFEE9F" w14:textId="138E9BB5" w:rsidR="006E33F6" w:rsidRPr="003A2EB4" w:rsidRDefault="00914598" w:rsidP="006E33F6">
      <w:pPr>
        <w:pStyle w:val="ListParagraph"/>
        <w:numPr>
          <w:ilvl w:val="0"/>
          <w:numId w:val="23"/>
        </w:numPr>
      </w:pPr>
      <w:r w:rsidRPr="003A2EB4">
        <w:t xml:space="preserve">Q2 </w:t>
      </w:r>
      <w:r w:rsidR="00B968FF" w:rsidRPr="003A2EB4">
        <w:t>July</w:t>
      </w:r>
      <w:r w:rsidRPr="003A2EB4">
        <w:t>/</w:t>
      </w:r>
      <w:r w:rsidR="00B968FF" w:rsidRPr="003A2EB4">
        <w:t>September</w:t>
      </w:r>
      <w:r w:rsidRPr="003A2EB4">
        <w:t xml:space="preserve"> 2025</w:t>
      </w:r>
      <w:r w:rsidR="00537B72" w:rsidRPr="003A2EB4">
        <w:t>: Scoping opportunities for alignment and decision making between family violence and Fast Track responses (three regions)</w:t>
      </w:r>
    </w:p>
    <w:p w14:paraId="2792AD82" w14:textId="2C17AE28" w:rsidR="00537B72" w:rsidRPr="003A2EB4" w:rsidRDefault="00537B72" w:rsidP="006E33F6">
      <w:pPr>
        <w:pStyle w:val="ListParagraph"/>
        <w:numPr>
          <w:ilvl w:val="0"/>
          <w:numId w:val="23"/>
        </w:numPr>
      </w:pPr>
      <w:r w:rsidRPr="003A2EB4">
        <w:t xml:space="preserve">Q2 </w:t>
      </w:r>
      <w:r w:rsidR="00B968FF" w:rsidRPr="003A2EB4">
        <w:t>July</w:t>
      </w:r>
      <w:r w:rsidRPr="003A2EB4">
        <w:t>/</w:t>
      </w:r>
      <w:r w:rsidR="00B968FF" w:rsidRPr="003A2EB4">
        <w:t>September</w:t>
      </w:r>
      <w:r w:rsidRPr="003A2EB4">
        <w:t xml:space="preserve"> 2026: Implementation of the aligned family violence and Fast Track responses (three regions)</w:t>
      </w:r>
    </w:p>
    <w:p w14:paraId="100FE131" w14:textId="64A7DDBB" w:rsidR="00537B72" w:rsidRPr="003A2EB4" w:rsidRDefault="00537B72" w:rsidP="006E33F6">
      <w:pPr>
        <w:pStyle w:val="ListParagraph"/>
        <w:numPr>
          <w:ilvl w:val="0"/>
          <w:numId w:val="23"/>
        </w:numPr>
      </w:pPr>
      <w:r w:rsidRPr="003A2EB4">
        <w:lastRenderedPageBreak/>
        <w:t xml:space="preserve">Q3 </w:t>
      </w:r>
      <w:r w:rsidR="00B968FF" w:rsidRPr="003A2EB4">
        <w:t>October</w:t>
      </w:r>
      <w:r w:rsidRPr="003A2EB4">
        <w:t>/</w:t>
      </w:r>
      <w:r w:rsidR="00B968FF" w:rsidRPr="003A2EB4">
        <w:t>December</w:t>
      </w:r>
      <w:r w:rsidRPr="003A2EB4">
        <w:t xml:space="preserve"> 2026: Identification of next set of regions for family violence and Fast Track alignment</w:t>
      </w:r>
    </w:p>
    <w:p w14:paraId="789B5764" w14:textId="4171C9C3" w:rsidR="007650B8" w:rsidRPr="003A2EB4" w:rsidRDefault="007650B8" w:rsidP="007650B8">
      <w:pPr>
        <w:pStyle w:val="Heading2"/>
      </w:pPr>
      <w:r w:rsidRPr="003A2EB4">
        <w:t>Stopping violence</w:t>
      </w:r>
    </w:p>
    <w:p w14:paraId="310EC865" w14:textId="153E6436" w:rsidR="007650B8" w:rsidRPr="003A2EB4" w:rsidRDefault="007650B8" w:rsidP="008A5FA0">
      <w:pPr>
        <w:pStyle w:val="Heading3"/>
      </w:pPr>
      <w:r w:rsidRPr="003A2EB4">
        <w:t>Review the current system of interventions for people who use violence</w:t>
      </w:r>
    </w:p>
    <w:p w14:paraId="2FE55948" w14:textId="3BEEA7C0" w:rsidR="007650B8" w:rsidRPr="003A2EB4" w:rsidRDefault="00DC65F0" w:rsidP="00692717">
      <w:pPr>
        <w:pStyle w:val="ListParagraph"/>
        <w:numPr>
          <w:ilvl w:val="0"/>
          <w:numId w:val="23"/>
        </w:numPr>
      </w:pPr>
      <w:r w:rsidRPr="003A2EB4">
        <w:t xml:space="preserve">Q4 </w:t>
      </w:r>
      <w:r w:rsidR="00B968FF" w:rsidRPr="003A2EB4">
        <w:t>January</w:t>
      </w:r>
      <w:r w:rsidRPr="003A2EB4">
        <w:t>/</w:t>
      </w:r>
      <w:r w:rsidR="00B968FF" w:rsidRPr="003A2EB4">
        <w:t>March</w:t>
      </w:r>
      <w:r w:rsidRPr="003A2EB4">
        <w:t xml:space="preserve"> 2025: Scope of review and responsibilities agreed</w:t>
      </w:r>
    </w:p>
    <w:p w14:paraId="0F8D3DC0" w14:textId="650FCEB5" w:rsidR="00CD7B9B" w:rsidRPr="003A2EB4" w:rsidRDefault="00CD7B9B" w:rsidP="00692717">
      <w:pPr>
        <w:pStyle w:val="ListParagraph"/>
        <w:numPr>
          <w:ilvl w:val="0"/>
          <w:numId w:val="23"/>
        </w:numPr>
      </w:pPr>
      <w:r w:rsidRPr="003A2EB4">
        <w:t xml:space="preserve">Q3 </w:t>
      </w:r>
      <w:r w:rsidR="00B968FF" w:rsidRPr="003A2EB4">
        <w:t>October</w:t>
      </w:r>
      <w:r w:rsidRPr="003A2EB4">
        <w:t>/</w:t>
      </w:r>
      <w:r w:rsidR="00B968FF" w:rsidRPr="003A2EB4">
        <w:t>December</w:t>
      </w:r>
      <w:r w:rsidRPr="003A2EB4">
        <w:t xml:space="preserve"> 2025: Current and future state analysis of intervention system for people who use violence completed</w:t>
      </w:r>
    </w:p>
    <w:p w14:paraId="0984BB35" w14:textId="1D75B193" w:rsidR="007650B8" w:rsidRPr="003A2EB4" w:rsidRDefault="00692717" w:rsidP="008A5FA0">
      <w:pPr>
        <w:pStyle w:val="Heading3"/>
      </w:pPr>
      <w:r w:rsidRPr="003A2EB4">
        <w:t xml:space="preserve">Supporting men’s behaviour change through Te Huringa ō </w:t>
      </w:r>
      <w:r w:rsidR="00284D34" w:rsidRPr="003A2EB4">
        <w:t>T</w:t>
      </w:r>
      <w:r w:rsidRPr="003A2EB4">
        <w:t>e Ao</w:t>
      </w:r>
    </w:p>
    <w:p w14:paraId="51E3B100" w14:textId="6C89ECC8" w:rsidR="00692717" w:rsidRPr="003A2EB4" w:rsidRDefault="00CD7B9B" w:rsidP="00CD7B9B">
      <w:pPr>
        <w:pStyle w:val="ListParagraph"/>
        <w:numPr>
          <w:ilvl w:val="0"/>
          <w:numId w:val="23"/>
        </w:numPr>
      </w:pPr>
      <w:r w:rsidRPr="003A2EB4">
        <w:t xml:space="preserve">Q1 </w:t>
      </w:r>
      <w:r w:rsidR="00B968FF" w:rsidRPr="003A2EB4">
        <w:t>April</w:t>
      </w:r>
      <w:r w:rsidRPr="003A2EB4">
        <w:t>/</w:t>
      </w:r>
      <w:r w:rsidR="00B968FF" w:rsidRPr="003A2EB4">
        <w:t>June</w:t>
      </w:r>
      <w:r w:rsidRPr="003A2EB4">
        <w:t xml:space="preserve"> 2025: Contracts agreed with providers</w:t>
      </w:r>
    </w:p>
    <w:p w14:paraId="7E46229A" w14:textId="23B82B5C" w:rsidR="00CD7B9B" w:rsidRPr="003A2EB4" w:rsidRDefault="00CD7B9B" w:rsidP="00CD7B9B">
      <w:pPr>
        <w:pStyle w:val="ListParagraph"/>
        <w:numPr>
          <w:ilvl w:val="0"/>
          <w:numId w:val="23"/>
        </w:numPr>
      </w:pPr>
      <w:r w:rsidRPr="003A2EB4">
        <w:t xml:space="preserve">Q3 </w:t>
      </w:r>
      <w:r w:rsidR="00B968FF" w:rsidRPr="003A2EB4">
        <w:t>October</w:t>
      </w:r>
      <w:r w:rsidRPr="003A2EB4">
        <w:t>/</w:t>
      </w:r>
      <w:r w:rsidR="00B968FF" w:rsidRPr="003A2EB4">
        <w:t>December</w:t>
      </w:r>
      <w:r w:rsidRPr="003A2EB4">
        <w:t xml:space="preserve"> 2026:</w:t>
      </w:r>
      <w:r w:rsidR="007643A1" w:rsidRPr="003A2EB4">
        <w:t xml:space="preserve"> Baseline evaluation scoped</w:t>
      </w:r>
    </w:p>
    <w:p w14:paraId="0C94D551" w14:textId="303098DD" w:rsidR="00692717" w:rsidRPr="003A2EB4" w:rsidRDefault="00692717" w:rsidP="008A5FA0">
      <w:pPr>
        <w:pStyle w:val="Heading3"/>
      </w:pPr>
      <w:r w:rsidRPr="003A2EB4">
        <w:t>Extend rehabilitation to prisoners on remand</w:t>
      </w:r>
    </w:p>
    <w:p w14:paraId="3316277C" w14:textId="7CC55EBF" w:rsidR="007643A1" w:rsidRPr="003A2EB4" w:rsidRDefault="004864BA" w:rsidP="007643A1">
      <w:pPr>
        <w:pStyle w:val="ListParagraph"/>
        <w:numPr>
          <w:ilvl w:val="0"/>
          <w:numId w:val="23"/>
        </w:numPr>
      </w:pPr>
      <w:r w:rsidRPr="003A2EB4">
        <w:t xml:space="preserve">Q3 </w:t>
      </w:r>
      <w:r w:rsidR="00B968FF" w:rsidRPr="003A2EB4">
        <w:t>September</w:t>
      </w:r>
      <w:r w:rsidRPr="003A2EB4">
        <w:t>/</w:t>
      </w:r>
      <w:r w:rsidR="00B968FF" w:rsidRPr="003A2EB4">
        <w:t>December</w:t>
      </w:r>
      <w:r w:rsidRPr="003A2EB4">
        <w:t xml:space="preserve"> 2024: Implementation plan for service expansion completed</w:t>
      </w:r>
    </w:p>
    <w:p w14:paraId="5020B1E0" w14:textId="007F8969" w:rsidR="004864BA" w:rsidRPr="003A2EB4" w:rsidRDefault="004864BA" w:rsidP="007643A1">
      <w:pPr>
        <w:pStyle w:val="ListParagraph"/>
        <w:numPr>
          <w:ilvl w:val="0"/>
          <w:numId w:val="23"/>
        </w:numPr>
      </w:pPr>
      <w:r w:rsidRPr="003A2EB4">
        <w:t xml:space="preserve">Q4 </w:t>
      </w:r>
      <w:r w:rsidR="00B968FF" w:rsidRPr="003A2EB4">
        <w:t>January</w:t>
      </w:r>
      <w:r w:rsidRPr="003A2EB4">
        <w:t>/</w:t>
      </w:r>
      <w:r w:rsidR="00B968FF" w:rsidRPr="003A2EB4">
        <w:t>March</w:t>
      </w:r>
      <w:r w:rsidRPr="003A2EB4">
        <w:t xml:space="preserve"> 2025: Plan submitted to Treasury to release funding for additional services</w:t>
      </w:r>
    </w:p>
    <w:p w14:paraId="741C43B5" w14:textId="6C075077" w:rsidR="004864BA" w:rsidRPr="003A2EB4" w:rsidRDefault="004864BA" w:rsidP="007643A1">
      <w:pPr>
        <w:pStyle w:val="ListParagraph"/>
        <w:numPr>
          <w:ilvl w:val="0"/>
          <w:numId w:val="23"/>
        </w:numPr>
      </w:pPr>
      <w:r w:rsidRPr="003A2EB4">
        <w:t xml:space="preserve">Q2 </w:t>
      </w:r>
      <w:r w:rsidR="00B968FF" w:rsidRPr="003A2EB4">
        <w:t>July</w:t>
      </w:r>
      <w:r w:rsidRPr="003A2EB4">
        <w:t>/</w:t>
      </w:r>
      <w:r w:rsidR="00B968FF" w:rsidRPr="003A2EB4">
        <w:t>September</w:t>
      </w:r>
      <w:r w:rsidRPr="003A2EB4">
        <w:t xml:space="preserve"> 2025</w:t>
      </w:r>
      <w:r w:rsidR="00BC466F" w:rsidRPr="003A2EB4">
        <w:t>: Expansion of services begins</w:t>
      </w:r>
    </w:p>
    <w:p w14:paraId="42820A71" w14:textId="6C4489AC" w:rsidR="00692717" w:rsidRPr="003A2EB4" w:rsidRDefault="00692717" w:rsidP="008A5FA0">
      <w:pPr>
        <w:pStyle w:val="Heading3"/>
      </w:pPr>
      <w:r w:rsidRPr="003A2EB4">
        <w:t>Expand access to safety programmes in criminal court</w:t>
      </w:r>
    </w:p>
    <w:p w14:paraId="334C16AF" w14:textId="7970D5A1" w:rsidR="007643A1" w:rsidRPr="003A2EB4" w:rsidRDefault="00BC466F" w:rsidP="007643A1">
      <w:pPr>
        <w:pStyle w:val="ListParagraph"/>
        <w:numPr>
          <w:ilvl w:val="0"/>
          <w:numId w:val="23"/>
        </w:numPr>
      </w:pPr>
      <w:r w:rsidRPr="003A2EB4">
        <w:t xml:space="preserve">Q1 </w:t>
      </w:r>
      <w:r w:rsidR="00B968FF" w:rsidRPr="003A2EB4">
        <w:t>April</w:t>
      </w:r>
      <w:r w:rsidRPr="003A2EB4">
        <w:t>/</w:t>
      </w:r>
      <w:r w:rsidR="00B968FF" w:rsidRPr="003A2EB4">
        <w:t>June</w:t>
      </w:r>
      <w:r w:rsidRPr="003A2EB4">
        <w:t xml:space="preserve"> 2025: Contracts agreed with providers</w:t>
      </w:r>
    </w:p>
    <w:p w14:paraId="12FFBA74" w14:textId="71469EDC" w:rsidR="00BC466F" w:rsidRPr="003A2EB4" w:rsidRDefault="00BC466F" w:rsidP="007643A1">
      <w:pPr>
        <w:pStyle w:val="ListParagraph"/>
        <w:numPr>
          <w:ilvl w:val="0"/>
          <w:numId w:val="23"/>
        </w:numPr>
      </w:pPr>
      <w:r w:rsidRPr="003A2EB4">
        <w:t xml:space="preserve">Q2 </w:t>
      </w:r>
      <w:r w:rsidR="00B968FF" w:rsidRPr="003A2EB4">
        <w:t>July</w:t>
      </w:r>
      <w:r w:rsidRPr="003A2EB4">
        <w:t>/</w:t>
      </w:r>
      <w:r w:rsidR="00B968FF" w:rsidRPr="003A2EB4">
        <w:t>September</w:t>
      </w:r>
      <w:r w:rsidRPr="003A2EB4">
        <w:t xml:space="preserve"> 2025: Safety programmes go live in the criminal court</w:t>
      </w:r>
    </w:p>
    <w:p w14:paraId="63646334" w14:textId="77777777" w:rsidR="00220264" w:rsidRDefault="00220264">
      <w:pPr>
        <w:autoSpaceDE/>
        <w:autoSpaceDN/>
        <w:adjustRightInd/>
        <w:spacing w:before="0" w:after="160" w:line="259" w:lineRule="auto"/>
        <w:rPr>
          <w:rFonts w:eastAsia="Times New Roman"/>
          <w:b/>
          <w:color w:val="293D8A"/>
          <w:sz w:val="32"/>
          <w:szCs w:val="32"/>
          <w:lang w:eastAsia="ja-JP"/>
          <w14:ligatures w14:val="none"/>
        </w:rPr>
      </w:pPr>
      <w:r>
        <w:br w:type="page"/>
      </w:r>
    </w:p>
    <w:p w14:paraId="312A6B7C" w14:textId="7038190F" w:rsidR="00535E89" w:rsidRPr="003A2EB4" w:rsidRDefault="00535E89" w:rsidP="00535E89">
      <w:pPr>
        <w:pStyle w:val="Heading1"/>
      </w:pPr>
      <w:r w:rsidRPr="003A2EB4">
        <w:lastRenderedPageBreak/>
        <w:t xml:space="preserve">Appendix 3: </w:t>
      </w:r>
      <w:r w:rsidR="00BC1079" w:rsidRPr="003A2EB4">
        <w:t>A</w:t>
      </w:r>
      <w:r w:rsidRPr="003A2EB4">
        <w:t>gencies taking action</w:t>
      </w:r>
    </w:p>
    <w:p w14:paraId="6B2D05A0" w14:textId="684CBEF2" w:rsidR="00BC1079" w:rsidRPr="003A2EB4" w:rsidRDefault="00BC1079" w:rsidP="00BC1079">
      <w:r w:rsidRPr="003A2EB4">
        <w:t>Agencies will continue to take action in support of the five year focus areas set out in this plan. This details which agencies will be leading these activities, and when and how they contribute to the government targets.</w:t>
      </w:r>
    </w:p>
    <w:p w14:paraId="666C538B" w14:textId="5B0E9C40" w:rsidR="00BC1079" w:rsidRPr="003A2EB4" w:rsidRDefault="00323378" w:rsidP="00323378">
      <w:pPr>
        <w:pStyle w:val="Heading2"/>
      </w:pPr>
      <w:r w:rsidRPr="003A2EB4">
        <w:t>Strengthening our workforce</w:t>
      </w:r>
    </w:p>
    <w:p w14:paraId="62EB2610" w14:textId="38910B4C" w:rsidR="005541D8" w:rsidRPr="003A2EB4" w:rsidRDefault="007B690D" w:rsidP="008F1A19">
      <w:r w:rsidRPr="003A2EB4">
        <w:rPr>
          <w:b/>
          <w:bCs/>
        </w:rPr>
        <w:t>Activity:</w:t>
      </w:r>
      <w:r w:rsidR="005541D8" w:rsidRPr="003A2EB4">
        <w:t xml:space="preserve"> </w:t>
      </w:r>
      <w:r w:rsidR="00707F08" w:rsidRPr="003A2EB4">
        <w:t xml:space="preserve">Future capacity and capability plan for family violence and sexual violence workforce </w:t>
      </w:r>
      <w:r w:rsidR="00707F08" w:rsidRPr="003A2EB4">
        <w:br/>
      </w:r>
      <w:r w:rsidRPr="003A2EB4">
        <w:rPr>
          <w:b/>
          <w:bCs/>
        </w:rPr>
        <w:t>Description:</w:t>
      </w:r>
      <w:r w:rsidR="00707F08" w:rsidRPr="003A2EB4">
        <w:t xml:space="preserve"> Developing a future strategy (including a gap analysis) to address the future capacity and capability requirements and long term retention of the family violence and sexual violence workforce.</w:t>
      </w:r>
      <w:r w:rsidR="005541D8" w:rsidRPr="003A2EB4">
        <w:br/>
      </w:r>
      <w:r w:rsidRPr="003A2EB4">
        <w:rPr>
          <w:b/>
          <w:bCs/>
        </w:rPr>
        <w:t>Agency:</w:t>
      </w:r>
      <w:r w:rsidR="005541D8" w:rsidRPr="003A2EB4">
        <w:t xml:space="preserve"> </w:t>
      </w:r>
      <w:r w:rsidR="008F1A19" w:rsidRPr="003A2EB4">
        <w:t>Te Puna Aonui Business Unit</w:t>
      </w:r>
      <w:r w:rsidR="005541D8" w:rsidRPr="003A2EB4">
        <w:br/>
      </w:r>
      <w:r w:rsidRPr="003A2EB4">
        <w:rPr>
          <w:b/>
          <w:bCs/>
        </w:rPr>
        <w:t>Due:</w:t>
      </w:r>
      <w:r w:rsidR="005541D8" w:rsidRPr="003A2EB4">
        <w:t xml:space="preserve"> </w:t>
      </w:r>
      <w:r w:rsidR="008F1A19" w:rsidRPr="003A2EB4">
        <w:t>2026</w:t>
      </w:r>
      <w:r w:rsidR="005541D8" w:rsidRPr="003A2EB4">
        <w:br/>
      </w:r>
      <w:r w:rsidRPr="003A2EB4">
        <w:rPr>
          <w:b/>
          <w:bCs/>
        </w:rPr>
        <w:t>Direct contribution to targets:</w:t>
      </w:r>
      <w:r w:rsidR="005541D8" w:rsidRPr="003A2EB4">
        <w:t xml:space="preserve"> Target 4 – reducing violent crime</w:t>
      </w:r>
    </w:p>
    <w:p w14:paraId="722011B2" w14:textId="3DAD93F6" w:rsidR="005541D8" w:rsidRPr="003A2EB4" w:rsidRDefault="007B690D" w:rsidP="005541D8">
      <w:r w:rsidRPr="003A2EB4">
        <w:rPr>
          <w:b/>
          <w:bCs/>
        </w:rPr>
        <w:t>Activity:</w:t>
      </w:r>
      <w:r w:rsidR="005541D8" w:rsidRPr="003A2EB4">
        <w:t xml:space="preserve"> </w:t>
      </w:r>
      <w:r w:rsidR="0004782B" w:rsidRPr="003A2EB4">
        <w:t>Family violence and sexual violence capability frameworks and training plans</w:t>
      </w:r>
      <w:r w:rsidR="005541D8" w:rsidRPr="003A2EB4">
        <w:br/>
      </w:r>
      <w:r w:rsidRPr="003A2EB4">
        <w:rPr>
          <w:b/>
          <w:bCs/>
        </w:rPr>
        <w:t>Description:</w:t>
      </w:r>
      <w:r w:rsidR="00230B62" w:rsidRPr="003A2EB4">
        <w:t xml:space="preserve"> Working to ensure family violence and sexual violence capability frameworks and training plans are adopted in all statutory agencies (Phase 1 NZ Police, Department of Corrections, Oranga Tamariki).</w:t>
      </w:r>
      <w:r w:rsidR="005541D8" w:rsidRPr="003A2EB4">
        <w:br/>
      </w:r>
      <w:r w:rsidRPr="003A2EB4">
        <w:rPr>
          <w:b/>
          <w:bCs/>
        </w:rPr>
        <w:t>Agency:</w:t>
      </w:r>
      <w:r w:rsidR="005541D8" w:rsidRPr="003A2EB4">
        <w:t xml:space="preserve"> </w:t>
      </w:r>
      <w:r w:rsidR="00230B62" w:rsidRPr="003A2EB4">
        <w:t>Te Puna Aonui Business Unit; NZ Police; Department of Corrections; Oranga Tamariki</w:t>
      </w:r>
      <w:r w:rsidR="005541D8" w:rsidRPr="003A2EB4">
        <w:br/>
      </w:r>
      <w:r w:rsidRPr="003A2EB4">
        <w:rPr>
          <w:b/>
          <w:bCs/>
        </w:rPr>
        <w:t>Due:</w:t>
      </w:r>
      <w:r w:rsidR="005541D8" w:rsidRPr="003A2EB4">
        <w:t xml:space="preserve"> </w:t>
      </w:r>
      <w:r w:rsidR="00230B62" w:rsidRPr="003A2EB4">
        <w:t>Phase 1 2027</w:t>
      </w:r>
      <w:r w:rsidR="005541D8" w:rsidRPr="003A2EB4">
        <w:br/>
      </w:r>
      <w:r w:rsidRPr="003A2EB4">
        <w:rPr>
          <w:b/>
          <w:bCs/>
        </w:rPr>
        <w:t>Direct contribution to targets:</w:t>
      </w:r>
      <w:r w:rsidR="005541D8" w:rsidRPr="003A2EB4">
        <w:t xml:space="preserve"> Target 4 – reducing violent crime</w:t>
      </w:r>
    </w:p>
    <w:p w14:paraId="5353CA5B" w14:textId="1D2C0848" w:rsidR="005541D8" w:rsidRPr="003A2EB4" w:rsidRDefault="007B690D" w:rsidP="005541D8">
      <w:r w:rsidRPr="003A2EB4">
        <w:rPr>
          <w:b/>
          <w:bCs/>
        </w:rPr>
        <w:t>Activity:</w:t>
      </w:r>
      <w:r w:rsidR="005541D8" w:rsidRPr="003A2EB4">
        <w:t xml:space="preserve"> </w:t>
      </w:r>
      <w:r w:rsidR="00230B62" w:rsidRPr="003A2EB4">
        <w:t>Training frontline statutory workers</w:t>
      </w:r>
      <w:r w:rsidR="005541D8" w:rsidRPr="003A2EB4">
        <w:br/>
      </w:r>
      <w:r w:rsidRPr="003A2EB4">
        <w:rPr>
          <w:b/>
          <w:bCs/>
        </w:rPr>
        <w:t>Description:</w:t>
      </w:r>
      <w:r w:rsidR="00230B62" w:rsidRPr="003A2EB4">
        <w:t xml:space="preserve"> Training 10,000 frontline statutory workers in family violence and sexual violence over two years.</w:t>
      </w:r>
      <w:r w:rsidR="005541D8" w:rsidRPr="003A2EB4">
        <w:br/>
      </w:r>
      <w:r w:rsidRPr="003A2EB4">
        <w:rPr>
          <w:b/>
          <w:bCs/>
        </w:rPr>
        <w:t>Agency:</w:t>
      </w:r>
      <w:r w:rsidR="005541D8" w:rsidRPr="003A2EB4">
        <w:t xml:space="preserve"> </w:t>
      </w:r>
      <w:r w:rsidR="00230B62" w:rsidRPr="003A2EB4">
        <w:t>Te Puna Aonui Business Unit, NZ Police, Department of Corrections, Oranga Tamariki</w:t>
      </w:r>
      <w:r w:rsidR="005541D8" w:rsidRPr="003A2EB4">
        <w:br/>
      </w:r>
      <w:r w:rsidRPr="003A2EB4">
        <w:rPr>
          <w:b/>
          <w:bCs/>
        </w:rPr>
        <w:t>Due:</w:t>
      </w:r>
      <w:r w:rsidR="005541D8" w:rsidRPr="003A2EB4">
        <w:t xml:space="preserve"> </w:t>
      </w:r>
      <w:r w:rsidR="00230B62" w:rsidRPr="003A2EB4">
        <w:t>2027</w:t>
      </w:r>
      <w:r w:rsidR="005541D8" w:rsidRPr="003A2EB4">
        <w:br/>
      </w:r>
      <w:r w:rsidRPr="003A2EB4">
        <w:rPr>
          <w:b/>
          <w:bCs/>
        </w:rPr>
        <w:t>Direct contribution to targets:</w:t>
      </w:r>
      <w:r w:rsidR="005541D8" w:rsidRPr="003A2EB4">
        <w:t xml:space="preserve"> Target 4 – reducing violent crime</w:t>
      </w:r>
    </w:p>
    <w:p w14:paraId="5086E617" w14:textId="534DCBA6" w:rsidR="005541D8" w:rsidRPr="003A2EB4" w:rsidRDefault="007B690D" w:rsidP="005541D8">
      <w:r w:rsidRPr="003A2EB4">
        <w:rPr>
          <w:b/>
          <w:bCs/>
        </w:rPr>
        <w:t>Activity:</w:t>
      </w:r>
      <w:r w:rsidR="005541D8" w:rsidRPr="003A2EB4">
        <w:t xml:space="preserve"> </w:t>
      </w:r>
      <w:r w:rsidR="00B67AE2" w:rsidRPr="003A2EB4">
        <w:t>Health Workforce Violence Intervention Programme</w:t>
      </w:r>
      <w:r w:rsidR="005541D8" w:rsidRPr="003A2EB4">
        <w:br/>
      </w:r>
      <w:r w:rsidRPr="003A2EB4">
        <w:rPr>
          <w:b/>
          <w:bCs/>
        </w:rPr>
        <w:t>Description:</w:t>
      </w:r>
      <w:r w:rsidR="00B67AE2" w:rsidRPr="003A2EB4">
        <w:t xml:space="preserve"> Supporting the tertiary health workforce to develop its capability to identify family violence, assess health and risk, and refer victims of abuse by developing training programmes, practice protocols, standardised documentation, support processes, posters, monitoring and evaluation.</w:t>
      </w:r>
      <w:r w:rsidR="005541D8" w:rsidRPr="003A2EB4">
        <w:br/>
      </w:r>
      <w:r w:rsidRPr="003A2EB4">
        <w:rPr>
          <w:b/>
          <w:bCs/>
        </w:rPr>
        <w:t>Agency:</w:t>
      </w:r>
      <w:r w:rsidR="005541D8" w:rsidRPr="003A2EB4">
        <w:t xml:space="preserve"> </w:t>
      </w:r>
      <w:r w:rsidR="00B67AE2" w:rsidRPr="003A2EB4">
        <w:t>Health New Zealand - Te Whatu Ora</w:t>
      </w:r>
      <w:r w:rsidR="005541D8" w:rsidRPr="003A2EB4">
        <w:br/>
      </w:r>
      <w:r w:rsidRPr="003A2EB4">
        <w:rPr>
          <w:b/>
          <w:bCs/>
        </w:rPr>
        <w:t>Due:</w:t>
      </w:r>
      <w:r w:rsidR="005541D8" w:rsidRPr="003A2EB4">
        <w:t xml:space="preserve"> </w:t>
      </w:r>
      <w:r w:rsidR="00B67AE2" w:rsidRPr="003A2EB4">
        <w:t>Ongoing</w:t>
      </w:r>
      <w:r w:rsidR="005541D8" w:rsidRPr="003A2EB4">
        <w:br/>
      </w:r>
      <w:r w:rsidRPr="003A2EB4">
        <w:rPr>
          <w:b/>
          <w:bCs/>
        </w:rPr>
        <w:t>Direct contribution to targets:</w:t>
      </w:r>
      <w:r w:rsidR="00B67AE2" w:rsidRPr="003A2EB4">
        <w:t xml:space="preserve"> </w:t>
      </w:r>
      <w:r w:rsidR="005541D8" w:rsidRPr="003A2EB4">
        <w:t>Target 4 – reducing violent crime</w:t>
      </w:r>
    </w:p>
    <w:p w14:paraId="4FA48613" w14:textId="77777777" w:rsidR="00B95575" w:rsidRPr="003A2EB4" w:rsidRDefault="00B95575" w:rsidP="00B95575">
      <w:pPr>
        <w:pStyle w:val="Heading1"/>
        <w:rPr>
          <w:rFonts w:eastAsiaTheme="majorEastAsia"/>
        </w:rPr>
      </w:pPr>
      <w:r w:rsidRPr="003A2EB4">
        <w:rPr>
          <w:rFonts w:eastAsiaTheme="majorEastAsia"/>
        </w:rPr>
        <w:t>Appendix 3: Agencies taking action</w:t>
      </w:r>
    </w:p>
    <w:p w14:paraId="7074DEF7" w14:textId="25541B29" w:rsidR="005541D8" w:rsidRPr="003A2EB4" w:rsidRDefault="005541D8" w:rsidP="005541D8">
      <w:pPr>
        <w:pStyle w:val="Heading2"/>
      </w:pPr>
      <w:r w:rsidRPr="003A2EB4">
        <w:t>Protecting children and young people</w:t>
      </w:r>
    </w:p>
    <w:p w14:paraId="216DB455" w14:textId="5E56269A" w:rsidR="00BC1079" w:rsidRPr="003A2EB4" w:rsidRDefault="007B690D" w:rsidP="00BC1079">
      <w:r w:rsidRPr="003A2EB4">
        <w:rPr>
          <w:b/>
          <w:bCs/>
        </w:rPr>
        <w:t>Activity:</w:t>
      </w:r>
      <w:r w:rsidR="00BC1079" w:rsidRPr="003A2EB4">
        <w:t xml:space="preserve"> </w:t>
      </w:r>
      <w:r w:rsidR="000D7C5A" w:rsidRPr="003A2EB4">
        <w:t>The Child Advocates Programme</w:t>
      </w:r>
      <w:r w:rsidR="00BC1079" w:rsidRPr="003A2EB4">
        <w:br/>
      </w:r>
      <w:r w:rsidRPr="003A2EB4">
        <w:rPr>
          <w:b/>
          <w:bCs/>
        </w:rPr>
        <w:t>Description:</w:t>
      </w:r>
      <w:r w:rsidR="002E1F81" w:rsidRPr="003A2EB4">
        <w:t xml:space="preserve"> This initiative provides specialist, child-focused support to children who have experienced family violence in eight Women’s Refuge sites across New Zealand.</w:t>
      </w:r>
      <w:r w:rsidR="00BC1079" w:rsidRPr="003A2EB4">
        <w:br/>
      </w:r>
      <w:r w:rsidRPr="003A2EB4">
        <w:rPr>
          <w:b/>
          <w:bCs/>
        </w:rPr>
        <w:t>Agency:</w:t>
      </w:r>
      <w:r w:rsidR="00BC1079" w:rsidRPr="003A2EB4">
        <w:t xml:space="preserve"> </w:t>
      </w:r>
      <w:r w:rsidR="002E1F81" w:rsidRPr="003A2EB4">
        <w:t>Ministry of Social Development</w:t>
      </w:r>
      <w:r w:rsidR="00BC1079" w:rsidRPr="003A2EB4">
        <w:br/>
      </w:r>
      <w:r w:rsidRPr="003A2EB4">
        <w:rPr>
          <w:b/>
          <w:bCs/>
        </w:rPr>
        <w:lastRenderedPageBreak/>
        <w:t>Due:</w:t>
      </w:r>
      <w:r w:rsidR="00BC1079" w:rsidRPr="003A2EB4">
        <w:t xml:space="preserve"> </w:t>
      </w:r>
      <w:r w:rsidR="002E1F81" w:rsidRPr="003A2EB4">
        <w:t>Ongoing</w:t>
      </w:r>
      <w:r w:rsidR="00BC1079" w:rsidRPr="003A2EB4">
        <w:br/>
      </w:r>
      <w:r w:rsidRPr="003A2EB4">
        <w:rPr>
          <w:b/>
          <w:bCs/>
        </w:rPr>
        <w:t>Direct contribution to targets:</w:t>
      </w:r>
      <w:r w:rsidR="00A471F9" w:rsidRPr="003A2EB4">
        <w:t xml:space="preserve"> Target 3 – reducing youth offending</w:t>
      </w:r>
    </w:p>
    <w:p w14:paraId="3CDFE09A" w14:textId="548D635E" w:rsidR="00AB4F45" w:rsidRPr="003A2EB4" w:rsidRDefault="007B690D" w:rsidP="00AB4F45">
      <w:r w:rsidRPr="003A2EB4">
        <w:rPr>
          <w:b/>
          <w:bCs/>
        </w:rPr>
        <w:t>Activity:</w:t>
      </w:r>
      <w:r w:rsidR="00AB4F45" w:rsidRPr="003A2EB4">
        <w:t xml:space="preserve"> </w:t>
      </w:r>
      <w:r w:rsidR="002E1F81" w:rsidRPr="003A2EB4">
        <w:t>Children’s Services Flexi Fund</w:t>
      </w:r>
      <w:r w:rsidR="00AB4F45" w:rsidRPr="003A2EB4">
        <w:br/>
      </w:r>
      <w:r w:rsidRPr="003A2EB4">
        <w:rPr>
          <w:b/>
          <w:bCs/>
        </w:rPr>
        <w:t>Description:</w:t>
      </w:r>
      <w:r w:rsidR="002E1F81" w:rsidRPr="003A2EB4">
        <w:t xml:space="preserve"> The Children’s Services Flexi Fund is a source of flexible funding that can be used by government and NGO services to ‘directly or indirectly enhance tamariki/ rangatahi wellbeing following family harm, through the purchase of one-off or timebound goods or services’.</w:t>
      </w:r>
      <w:r w:rsidR="00AB4F45" w:rsidRPr="003A2EB4">
        <w:br/>
      </w:r>
      <w:r w:rsidRPr="003A2EB4">
        <w:rPr>
          <w:b/>
          <w:bCs/>
        </w:rPr>
        <w:t>Agency:</w:t>
      </w:r>
      <w:r w:rsidR="00AB4F45" w:rsidRPr="003A2EB4">
        <w:t xml:space="preserve"> </w:t>
      </w:r>
      <w:r w:rsidR="00ED6521" w:rsidRPr="003A2EB4">
        <w:t>NZ Police</w:t>
      </w:r>
      <w:r w:rsidR="00AB4F45" w:rsidRPr="003A2EB4">
        <w:br/>
      </w:r>
      <w:r w:rsidRPr="003A2EB4">
        <w:rPr>
          <w:b/>
          <w:bCs/>
        </w:rPr>
        <w:t>Due:</w:t>
      </w:r>
      <w:r w:rsidR="00AB4F45" w:rsidRPr="003A2EB4">
        <w:t xml:space="preserve"> </w:t>
      </w:r>
      <w:r w:rsidR="00ED6521" w:rsidRPr="003A2EB4">
        <w:t>Ongoing</w:t>
      </w:r>
      <w:r w:rsidR="00AB4F45" w:rsidRPr="003A2EB4">
        <w:br/>
      </w:r>
      <w:r w:rsidRPr="003A2EB4">
        <w:rPr>
          <w:b/>
          <w:bCs/>
        </w:rPr>
        <w:t>Direct contribution to targets:</w:t>
      </w:r>
      <w:r w:rsidR="00AB4F45" w:rsidRPr="003A2EB4">
        <w:t xml:space="preserve"> Target 3 – reducing youth offending; Target 4 – reducing violent crime</w:t>
      </w:r>
    </w:p>
    <w:p w14:paraId="045DD6BA" w14:textId="18388AEF" w:rsidR="00AB4F45" w:rsidRPr="003A2EB4" w:rsidRDefault="007B690D" w:rsidP="00AB4F45">
      <w:r w:rsidRPr="003A2EB4">
        <w:rPr>
          <w:b/>
          <w:bCs/>
        </w:rPr>
        <w:t>Activity:</w:t>
      </w:r>
      <w:r w:rsidR="00AB4F45" w:rsidRPr="003A2EB4">
        <w:t xml:space="preserve"> </w:t>
      </w:r>
      <w:r w:rsidR="00ED6521" w:rsidRPr="003A2EB4">
        <w:t>Specialist Restorative Youth Justice Services</w:t>
      </w:r>
      <w:r w:rsidR="00AB4F45" w:rsidRPr="003A2EB4">
        <w:br/>
      </w:r>
      <w:r w:rsidRPr="003A2EB4">
        <w:rPr>
          <w:b/>
          <w:bCs/>
        </w:rPr>
        <w:t>Description:</w:t>
      </w:r>
      <w:r w:rsidR="00ED6521" w:rsidRPr="003A2EB4">
        <w:t xml:space="preserve"> Contracting specialist restorative justice services for victims of a sexual violence offence by a young person. Victim/survivors will have access to a victim-centred restorative justice process provided by sexual violence specialists. The specialist provider will also work with the young person who offended as part of the restorative justice process.</w:t>
      </w:r>
      <w:r w:rsidR="00AB4F45" w:rsidRPr="003A2EB4">
        <w:br/>
      </w:r>
      <w:r w:rsidRPr="003A2EB4">
        <w:rPr>
          <w:b/>
          <w:bCs/>
        </w:rPr>
        <w:t>Agency:</w:t>
      </w:r>
      <w:r w:rsidR="00AB4F45" w:rsidRPr="003A2EB4">
        <w:t xml:space="preserve"> </w:t>
      </w:r>
      <w:r w:rsidR="00ED6521" w:rsidRPr="003A2EB4">
        <w:t>Oranga Tamariki, Ministry of Justice, NZ Police</w:t>
      </w:r>
      <w:r w:rsidR="00AB4F45" w:rsidRPr="003A2EB4">
        <w:br/>
      </w:r>
      <w:r w:rsidRPr="003A2EB4">
        <w:rPr>
          <w:b/>
          <w:bCs/>
        </w:rPr>
        <w:t>Due:</w:t>
      </w:r>
      <w:r w:rsidR="00AB4F45" w:rsidRPr="003A2EB4">
        <w:t xml:space="preserve"> </w:t>
      </w:r>
      <w:r w:rsidR="00ED6521" w:rsidRPr="003A2EB4">
        <w:t>Late 2024 onwards</w:t>
      </w:r>
      <w:r w:rsidR="00AB4F45" w:rsidRPr="003A2EB4">
        <w:br/>
      </w:r>
      <w:r w:rsidRPr="003A2EB4">
        <w:rPr>
          <w:b/>
          <w:bCs/>
        </w:rPr>
        <w:t>Direct contribution to targets:</w:t>
      </w:r>
      <w:r w:rsidR="00AB4F45" w:rsidRPr="003A2EB4">
        <w:t xml:space="preserve"> Target 3 – reducing youth offending</w:t>
      </w:r>
    </w:p>
    <w:p w14:paraId="171A31EA" w14:textId="6AA1A698" w:rsidR="00AB4F45" w:rsidRPr="003A2EB4" w:rsidRDefault="007B690D" w:rsidP="00AB4F45">
      <w:r w:rsidRPr="003A2EB4">
        <w:rPr>
          <w:b/>
          <w:bCs/>
        </w:rPr>
        <w:t>Activity:</w:t>
      </w:r>
      <w:r w:rsidR="00AB4F45" w:rsidRPr="003A2EB4">
        <w:t xml:space="preserve"> </w:t>
      </w:r>
      <w:r w:rsidR="00ED6521" w:rsidRPr="003A2EB4">
        <w:t>Specialist Court Support for Child Victims of Sexual Violence</w:t>
      </w:r>
      <w:r w:rsidR="00AB4F45" w:rsidRPr="003A2EB4">
        <w:br/>
      </w:r>
      <w:r w:rsidRPr="003A2EB4">
        <w:rPr>
          <w:b/>
          <w:bCs/>
        </w:rPr>
        <w:t>Description:</w:t>
      </w:r>
      <w:r w:rsidR="0009321F" w:rsidRPr="003A2EB4">
        <w:t xml:space="preserve"> Enhanced safety and support experiences for tamariki (children), rangatahi (young people), and whānau (family) who are participating in sexual violence criminal justice proceedings through specialist court support and multi-agency collaborative practice.</w:t>
      </w:r>
      <w:r w:rsidR="00AB4F45" w:rsidRPr="003A2EB4">
        <w:br/>
      </w:r>
      <w:r w:rsidRPr="003A2EB4">
        <w:rPr>
          <w:b/>
          <w:bCs/>
        </w:rPr>
        <w:t>Agency:</w:t>
      </w:r>
      <w:r w:rsidR="00AB4F45" w:rsidRPr="003A2EB4">
        <w:t xml:space="preserve"> </w:t>
      </w:r>
      <w:r w:rsidR="0009321F" w:rsidRPr="003A2EB4">
        <w:t>Oranga Tamariki, Ministry of Justice</w:t>
      </w:r>
      <w:r w:rsidR="00AB4F45" w:rsidRPr="003A2EB4">
        <w:br/>
      </w:r>
      <w:r w:rsidRPr="003A2EB4">
        <w:rPr>
          <w:b/>
          <w:bCs/>
        </w:rPr>
        <w:t>Due:</w:t>
      </w:r>
      <w:r w:rsidR="00AB4F45" w:rsidRPr="003A2EB4">
        <w:t xml:space="preserve"> </w:t>
      </w:r>
      <w:r w:rsidR="0009321F" w:rsidRPr="003A2EB4">
        <w:t>2025</w:t>
      </w:r>
      <w:r w:rsidR="00AB4F45" w:rsidRPr="003A2EB4">
        <w:br/>
      </w:r>
      <w:r w:rsidRPr="003A2EB4">
        <w:rPr>
          <w:b/>
          <w:bCs/>
        </w:rPr>
        <w:t>Direct contribution to targets:</w:t>
      </w:r>
      <w:r w:rsidR="00AB4F45" w:rsidRPr="003A2EB4">
        <w:t xml:space="preserve"> Target 4 – reducing violent crime</w:t>
      </w:r>
    </w:p>
    <w:p w14:paraId="301524A4" w14:textId="306A8A0E" w:rsidR="0009321F" w:rsidRPr="003A2EB4" w:rsidRDefault="007B690D" w:rsidP="0009321F">
      <w:r w:rsidRPr="003A2EB4">
        <w:rPr>
          <w:b/>
          <w:bCs/>
        </w:rPr>
        <w:t>Activity:</w:t>
      </w:r>
      <w:r w:rsidR="0009321F" w:rsidRPr="003A2EB4">
        <w:t xml:space="preserve"> </w:t>
      </w:r>
      <w:r w:rsidR="00E01A19" w:rsidRPr="003A2EB4">
        <w:t>Kā Au Kahuraki</w:t>
      </w:r>
      <w:r w:rsidR="0009321F" w:rsidRPr="003A2EB4">
        <w:br/>
      </w:r>
      <w:r w:rsidRPr="003A2EB4">
        <w:rPr>
          <w:b/>
          <w:bCs/>
        </w:rPr>
        <w:t>Description:</w:t>
      </w:r>
      <w:r w:rsidR="0009321F" w:rsidRPr="003A2EB4">
        <w:t xml:space="preserve"> </w:t>
      </w:r>
      <w:r w:rsidR="00E01A19" w:rsidRPr="003A2EB4">
        <w:t>Kā Au Kahuraki is a cross-agency collaboration with iwi in East Christchurch. It focuses on prevention activity to build protective factors for 0-5 year olds through a range of outreach. Kā Au Kahuraki objectives include increasing presence, participation and progress in early childhood education, good health outcomes for tamariki (children) 0-5 years, a reduction in child poverty, developing safe homes and communities, and enabling tamariki and their whānau to thrive in settings that affirm their language, culture and identity.</w:t>
      </w:r>
      <w:r w:rsidR="0009321F" w:rsidRPr="003A2EB4">
        <w:br/>
      </w:r>
      <w:r w:rsidRPr="003A2EB4">
        <w:rPr>
          <w:b/>
          <w:bCs/>
        </w:rPr>
        <w:t>Agency:</w:t>
      </w:r>
      <w:r w:rsidR="0009321F" w:rsidRPr="003A2EB4">
        <w:t xml:space="preserve"> </w:t>
      </w:r>
      <w:r w:rsidR="00E01A19" w:rsidRPr="003A2EB4">
        <w:t>Ministry of Education, NZ Police, Department of Internal Affairs</w:t>
      </w:r>
      <w:r w:rsidR="0009321F" w:rsidRPr="003A2EB4">
        <w:br/>
      </w:r>
      <w:r w:rsidRPr="003A2EB4">
        <w:rPr>
          <w:b/>
          <w:bCs/>
        </w:rPr>
        <w:t>Due:</w:t>
      </w:r>
      <w:r w:rsidR="0009321F" w:rsidRPr="003A2EB4">
        <w:t xml:space="preserve"> </w:t>
      </w:r>
      <w:r w:rsidR="00E01A19" w:rsidRPr="003A2EB4">
        <w:t>Ongoing</w:t>
      </w:r>
      <w:r w:rsidR="0009321F" w:rsidRPr="003A2EB4">
        <w:br/>
      </w:r>
      <w:r w:rsidRPr="003A2EB4">
        <w:rPr>
          <w:b/>
          <w:bCs/>
        </w:rPr>
        <w:t>Direct contribution to targets:</w:t>
      </w:r>
      <w:r w:rsidR="0009321F" w:rsidRPr="003A2EB4">
        <w:t xml:space="preserve"> Target 4 – reducing violent crime</w:t>
      </w:r>
    </w:p>
    <w:p w14:paraId="4BCA0800" w14:textId="77777777" w:rsidR="00B95575" w:rsidRPr="003A2EB4" w:rsidRDefault="00B95575" w:rsidP="00B95575">
      <w:pPr>
        <w:pStyle w:val="Heading1"/>
        <w:rPr>
          <w:rFonts w:eastAsiaTheme="majorEastAsia"/>
        </w:rPr>
      </w:pPr>
      <w:r w:rsidRPr="003A2EB4">
        <w:rPr>
          <w:rFonts w:eastAsiaTheme="majorEastAsia"/>
        </w:rPr>
        <w:t>Appendix 3: Agencies taking action</w:t>
      </w:r>
    </w:p>
    <w:p w14:paraId="6A74A198" w14:textId="4781EC81" w:rsidR="00AB4F45" w:rsidRPr="003A2EB4" w:rsidRDefault="000401E8" w:rsidP="000401E8">
      <w:pPr>
        <w:pStyle w:val="Heading2"/>
      </w:pPr>
      <w:r w:rsidRPr="003A2EB4">
        <w:t xml:space="preserve">Taking action on sexual violence </w:t>
      </w:r>
    </w:p>
    <w:p w14:paraId="650D781F" w14:textId="47AB49EF" w:rsidR="000401E8" w:rsidRPr="003A2EB4" w:rsidRDefault="007B690D" w:rsidP="000401E8">
      <w:r w:rsidRPr="003A2EB4">
        <w:rPr>
          <w:b/>
          <w:bCs/>
        </w:rPr>
        <w:t>Activity:</w:t>
      </w:r>
      <w:r w:rsidR="000401E8" w:rsidRPr="003A2EB4">
        <w:t xml:space="preserve"> </w:t>
      </w:r>
      <w:r w:rsidR="002213CE" w:rsidRPr="003A2EB4">
        <w:t>The Concerning Sexual Ideation Service</w:t>
      </w:r>
      <w:r w:rsidR="000401E8" w:rsidRPr="003A2EB4">
        <w:br/>
      </w:r>
      <w:r w:rsidRPr="003A2EB4">
        <w:rPr>
          <w:b/>
          <w:bCs/>
        </w:rPr>
        <w:t>Description:</w:t>
      </w:r>
      <w:r w:rsidR="002213CE" w:rsidRPr="003A2EB4">
        <w:t xml:space="preserve"> This service aims to reduce adults’ sexual ideation and the potential for this to impact negatively on their day-to-day functioning. This reduces the risk of the client </w:t>
      </w:r>
      <w:r w:rsidR="002213CE" w:rsidRPr="003A2EB4">
        <w:lastRenderedPageBreak/>
        <w:t>engaging in Harmful Sexual Behaviour, and increases their quality of life with the ultimate goal of making communities safer.</w:t>
      </w:r>
      <w:r w:rsidR="000401E8" w:rsidRPr="003A2EB4">
        <w:br/>
      </w:r>
      <w:r w:rsidRPr="003A2EB4">
        <w:rPr>
          <w:b/>
          <w:bCs/>
        </w:rPr>
        <w:t>Agency:</w:t>
      </w:r>
      <w:r w:rsidR="000401E8" w:rsidRPr="003A2EB4">
        <w:t xml:space="preserve"> </w:t>
      </w:r>
      <w:r w:rsidR="002213CE" w:rsidRPr="003A2EB4">
        <w:t>Ministry of Social Development</w:t>
      </w:r>
      <w:r w:rsidR="000401E8" w:rsidRPr="003A2EB4">
        <w:br/>
      </w:r>
      <w:r w:rsidRPr="003A2EB4">
        <w:rPr>
          <w:b/>
          <w:bCs/>
        </w:rPr>
        <w:t>Due:</w:t>
      </w:r>
      <w:r w:rsidR="000401E8" w:rsidRPr="003A2EB4">
        <w:t xml:space="preserve"> </w:t>
      </w:r>
      <w:r w:rsidR="002213CE" w:rsidRPr="003A2EB4">
        <w:t>Ongoing</w:t>
      </w:r>
      <w:r w:rsidR="000401E8" w:rsidRPr="003A2EB4">
        <w:br/>
      </w:r>
      <w:r w:rsidRPr="003A2EB4">
        <w:rPr>
          <w:b/>
          <w:bCs/>
        </w:rPr>
        <w:t>Direct contribution to targets:</w:t>
      </w:r>
      <w:r w:rsidR="000401E8" w:rsidRPr="003A2EB4">
        <w:t xml:space="preserve"> Target 4 – reducing violent crime</w:t>
      </w:r>
    </w:p>
    <w:p w14:paraId="64C44E2D" w14:textId="68D5B9E2" w:rsidR="000401E8" w:rsidRPr="003A2EB4" w:rsidRDefault="007B690D" w:rsidP="000401E8">
      <w:r w:rsidRPr="003A2EB4">
        <w:rPr>
          <w:b/>
          <w:bCs/>
        </w:rPr>
        <w:t>Activity:</w:t>
      </w:r>
      <w:r w:rsidR="000401E8" w:rsidRPr="003A2EB4">
        <w:t xml:space="preserve"> </w:t>
      </w:r>
      <w:r w:rsidR="002213CE" w:rsidRPr="003A2EB4">
        <w:t>Kaupapa Māori sexual violence services</w:t>
      </w:r>
      <w:r w:rsidR="000401E8" w:rsidRPr="003A2EB4">
        <w:br/>
      </w:r>
      <w:r w:rsidRPr="003A2EB4">
        <w:rPr>
          <w:b/>
          <w:bCs/>
        </w:rPr>
        <w:t>Description:</w:t>
      </w:r>
      <w:r w:rsidR="002213CE" w:rsidRPr="003A2EB4">
        <w:t xml:space="preserve"> Kaupapa Māori sexual violence services are free for whānau, and aim to ensure holistic service provision, with services spanning prevention, crisis support, and long-term healing. For many of these services, this holistic approach includes providing whānau with access to housing, or alcohol and drug counselling.</w:t>
      </w:r>
      <w:r w:rsidR="000401E8" w:rsidRPr="003A2EB4">
        <w:br/>
      </w:r>
      <w:r w:rsidRPr="003A2EB4">
        <w:rPr>
          <w:b/>
          <w:bCs/>
        </w:rPr>
        <w:t>Agency:</w:t>
      </w:r>
      <w:r w:rsidR="000401E8" w:rsidRPr="003A2EB4">
        <w:t xml:space="preserve"> </w:t>
      </w:r>
      <w:r w:rsidR="00F33D58" w:rsidRPr="003A2EB4">
        <w:t>Ministry of Social Development</w:t>
      </w:r>
      <w:r w:rsidR="000401E8" w:rsidRPr="003A2EB4">
        <w:br/>
      </w:r>
      <w:r w:rsidRPr="003A2EB4">
        <w:rPr>
          <w:b/>
          <w:bCs/>
        </w:rPr>
        <w:t>Due:</w:t>
      </w:r>
      <w:r w:rsidR="000401E8" w:rsidRPr="003A2EB4">
        <w:t xml:space="preserve"> </w:t>
      </w:r>
      <w:r w:rsidR="00F33D58" w:rsidRPr="003A2EB4">
        <w:t>2026</w:t>
      </w:r>
      <w:r w:rsidR="000401E8" w:rsidRPr="003A2EB4">
        <w:br/>
      </w:r>
      <w:r w:rsidRPr="003A2EB4">
        <w:rPr>
          <w:b/>
          <w:bCs/>
        </w:rPr>
        <w:t>Direct contribution to targets:</w:t>
      </w:r>
      <w:r w:rsidR="000401E8" w:rsidRPr="003A2EB4">
        <w:t xml:space="preserve"> Target 4 – reducing violent crime</w:t>
      </w:r>
    </w:p>
    <w:p w14:paraId="4B53AF4D" w14:textId="2CBFEB1D" w:rsidR="000401E8" w:rsidRPr="003A2EB4" w:rsidRDefault="007B690D" w:rsidP="000401E8">
      <w:r w:rsidRPr="003A2EB4">
        <w:rPr>
          <w:b/>
          <w:bCs/>
        </w:rPr>
        <w:t>Activity:</w:t>
      </w:r>
      <w:r w:rsidR="000401E8" w:rsidRPr="003A2EB4">
        <w:t xml:space="preserve"> </w:t>
      </w:r>
      <w:r w:rsidR="00F33D58" w:rsidRPr="003A2EB4">
        <w:t>Single entry online platform for sexual violence services</w:t>
      </w:r>
      <w:r w:rsidR="000401E8" w:rsidRPr="003A2EB4">
        <w:br/>
      </w:r>
      <w:r w:rsidRPr="003A2EB4">
        <w:rPr>
          <w:b/>
          <w:bCs/>
        </w:rPr>
        <w:t>Description:</w:t>
      </w:r>
      <w:r w:rsidR="00F33D58" w:rsidRPr="003A2EB4">
        <w:t xml:space="preserve"> Develop a single entry platform to improve accessibility to the family violence and sexual violence response system.</w:t>
      </w:r>
      <w:r w:rsidR="000401E8" w:rsidRPr="003A2EB4">
        <w:br/>
      </w:r>
      <w:r w:rsidRPr="003A2EB4">
        <w:rPr>
          <w:b/>
          <w:bCs/>
        </w:rPr>
        <w:t>Agency:</w:t>
      </w:r>
      <w:r w:rsidR="000401E8" w:rsidRPr="003A2EB4">
        <w:t xml:space="preserve"> </w:t>
      </w:r>
      <w:r w:rsidR="00F33D58" w:rsidRPr="003A2EB4">
        <w:t>ACC, Ministry of Social Development</w:t>
      </w:r>
      <w:r w:rsidR="000401E8" w:rsidRPr="003A2EB4">
        <w:br/>
      </w:r>
      <w:r w:rsidRPr="003A2EB4">
        <w:rPr>
          <w:b/>
          <w:bCs/>
        </w:rPr>
        <w:t>Due:</w:t>
      </w:r>
      <w:r w:rsidR="000401E8" w:rsidRPr="003A2EB4">
        <w:t xml:space="preserve"> </w:t>
      </w:r>
      <w:r w:rsidR="00F33D58" w:rsidRPr="003A2EB4">
        <w:t>2025</w:t>
      </w:r>
      <w:r w:rsidR="000401E8" w:rsidRPr="003A2EB4">
        <w:br/>
      </w:r>
      <w:r w:rsidRPr="003A2EB4">
        <w:rPr>
          <w:b/>
          <w:bCs/>
        </w:rPr>
        <w:t>Direct contribution to targets:</w:t>
      </w:r>
      <w:r w:rsidR="000401E8" w:rsidRPr="003A2EB4">
        <w:t xml:space="preserve"> </w:t>
      </w:r>
      <w:r w:rsidR="0070044E" w:rsidRPr="0070044E">
        <w:t>Indirect contribution</w:t>
      </w:r>
    </w:p>
    <w:p w14:paraId="35D8ABED" w14:textId="6A542588" w:rsidR="00CB730E" w:rsidRPr="003A2EB4" w:rsidRDefault="00CB730E" w:rsidP="00CB730E">
      <w:pPr>
        <w:pStyle w:val="Heading1"/>
        <w:rPr>
          <w:rFonts w:eastAsiaTheme="majorEastAsia"/>
        </w:rPr>
      </w:pPr>
      <w:r w:rsidRPr="003A2EB4">
        <w:rPr>
          <w:rFonts w:eastAsiaTheme="majorEastAsia"/>
        </w:rPr>
        <w:t>Appendix 3: Agencies taking action</w:t>
      </w:r>
    </w:p>
    <w:p w14:paraId="35B7E520" w14:textId="3EF41BBB" w:rsidR="000401E8" w:rsidRPr="003A2EB4" w:rsidRDefault="000401E8" w:rsidP="000401E8">
      <w:pPr>
        <w:pStyle w:val="Heading2"/>
      </w:pPr>
      <w:r w:rsidRPr="003A2EB4">
        <w:t>Preventing violence before it starts</w:t>
      </w:r>
    </w:p>
    <w:p w14:paraId="3B138B9B" w14:textId="78D50D7A" w:rsidR="000401E8" w:rsidRPr="003A2EB4" w:rsidRDefault="007B690D" w:rsidP="000401E8">
      <w:r w:rsidRPr="003A2EB4">
        <w:rPr>
          <w:b/>
          <w:bCs/>
        </w:rPr>
        <w:t>Activity:</w:t>
      </w:r>
      <w:r w:rsidR="000401E8" w:rsidRPr="003A2EB4">
        <w:t xml:space="preserve"> </w:t>
      </w:r>
      <w:r w:rsidR="00453AF2" w:rsidRPr="003A2EB4">
        <w:t>The Campaign for Action on Family Violence</w:t>
      </w:r>
      <w:r w:rsidR="000401E8" w:rsidRPr="003A2EB4">
        <w:br/>
      </w:r>
      <w:r w:rsidRPr="003A2EB4">
        <w:rPr>
          <w:b/>
          <w:bCs/>
        </w:rPr>
        <w:t>Description:</w:t>
      </w:r>
      <w:r w:rsidR="00453AF2" w:rsidRPr="003A2EB4">
        <w:t xml:space="preserve"> A programme of activities that focuses on changing social norms and supporting men on their journeys of change to stop using violence. This includes national communications encouraging men who use violence to access online resources and support to help them change their behaviour.</w:t>
      </w:r>
      <w:r w:rsidR="000401E8" w:rsidRPr="003A2EB4">
        <w:br/>
      </w:r>
      <w:r w:rsidRPr="003A2EB4">
        <w:rPr>
          <w:b/>
          <w:bCs/>
        </w:rPr>
        <w:t>Agency:</w:t>
      </w:r>
      <w:r w:rsidR="000401E8" w:rsidRPr="003A2EB4">
        <w:t xml:space="preserve"> </w:t>
      </w:r>
      <w:r w:rsidR="00453AF2" w:rsidRPr="003A2EB4">
        <w:t>Ministry of Social Development</w:t>
      </w:r>
      <w:r w:rsidR="000401E8" w:rsidRPr="003A2EB4">
        <w:br/>
      </w:r>
      <w:r w:rsidRPr="003A2EB4">
        <w:rPr>
          <w:b/>
          <w:bCs/>
        </w:rPr>
        <w:t>Due:</w:t>
      </w:r>
      <w:r w:rsidR="000401E8" w:rsidRPr="003A2EB4">
        <w:t xml:space="preserve"> </w:t>
      </w:r>
      <w:r w:rsidR="00453AF2" w:rsidRPr="003A2EB4">
        <w:t>Ongoing</w:t>
      </w:r>
      <w:r w:rsidR="000401E8" w:rsidRPr="003A2EB4">
        <w:br/>
      </w:r>
      <w:r w:rsidRPr="003A2EB4">
        <w:rPr>
          <w:b/>
          <w:bCs/>
        </w:rPr>
        <w:t>Direct contribution to targets:</w:t>
      </w:r>
      <w:r w:rsidR="000401E8" w:rsidRPr="003A2EB4">
        <w:t xml:space="preserve"> </w:t>
      </w:r>
      <w:r w:rsidR="0070044E" w:rsidRPr="0070044E">
        <w:t>Indirect contribution</w:t>
      </w:r>
    </w:p>
    <w:p w14:paraId="1BB0A339" w14:textId="779D00C1" w:rsidR="000401E8" w:rsidRPr="003A2EB4" w:rsidRDefault="007B690D" w:rsidP="000401E8">
      <w:r w:rsidRPr="003A2EB4">
        <w:rPr>
          <w:b/>
          <w:bCs/>
        </w:rPr>
        <w:t>Activity:</w:t>
      </w:r>
      <w:r w:rsidR="000401E8" w:rsidRPr="003A2EB4">
        <w:t xml:space="preserve"> </w:t>
      </w:r>
      <w:r w:rsidR="00453AF2" w:rsidRPr="003A2EB4">
        <w:t>Pasefika Proud</w:t>
      </w:r>
      <w:r w:rsidR="000401E8" w:rsidRPr="003A2EB4">
        <w:br/>
      </w:r>
      <w:r w:rsidRPr="003A2EB4">
        <w:rPr>
          <w:b/>
          <w:bCs/>
        </w:rPr>
        <w:t>Description:</w:t>
      </w:r>
      <w:r w:rsidR="00BA558B" w:rsidRPr="003A2EB4">
        <w:t xml:space="preserve"> Pasefika Proud acknowledges the power of cultural values and strength in preventing family violence and supporting Pacific peoples to thrive. This supports communities to develop and lead their own solutions for addressing violence and improving wellbeing.</w:t>
      </w:r>
      <w:r w:rsidR="000401E8" w:rsidRPr="003A2EB4">
        <w:br/>
      </w:r>
      <w:r w:rsidRPr="003A2EB4">
        <w:rPr>
          <w:b/>
          <w:bCs/>
        </w:rPr>
        <w:t>Agency:</w:t>
      </w:r>
      <w:r w:rsidR="000401E8" w:rsidRPr="003A2EB4">
        <w:t xml:space="preserve"> </w:t>
      </w:r>
      <w:r w:rsidR="00CF5138" w:rsidRPr="003A2EB4">
        <w:t>Ministry of Social Development</w:t>
      </w:r>
      <w:r w:rsidR="000401E8" w:rsidRPr="003A2EB4">
        <w:br/>
      </w:r>
      <w:r w:rsidRPr="003A2EB4">
        <w:rPr>
          <w:b/>
          <w:bCs/>
        </w:rPr>
        <w:t>Due:</w:t>
      </w:r>
      <w:r w:rsidR="000401E8" w:rsidRPr="003A2EB4">
        <w:t xml:space="preserve"> </w:t>
      </w:r>
      <w:r w:rsidR="00CF5138" w:rsidRPr="003A2EB4">
        <w:t>Ongoing</w:t>
      </w:r>
      <w:r w:rsidR="000401E8" w:rsidRPr="003A2EB4">
        <w:br/>
      </w:r>
      <w:r w:rsidRPr="003A2EB4">
        <w:rPr>
          <w:b/>
          <w:bCs/>
        </w:rPr>
        <w:t>Direct contribution to targets:</w:t>
      </w:r>
      <w:r w:rsidR="000401E8" w:rsidRPr="003A2EB4">
        <w:t xml:space="preserve"> </w:t>
      </w:r>
      <w:r w:rsidR="004F3B56">
        <w:t>Indirect contribution</w:t>
      </w:r>
    </w:p>
    <w:p w14:paraId="0B9CF111" w14:textId="2EC852AC" w:rsidR="000401E8" w:rsidRPr="003A2EB4" w:rsidRDefault="007B690D" w:rsidP="000401E8">
      <w:r w:rsidRPr="003A2EB4">
        <w:rPr>
          <w:b/>
          <w:bCs/>
        </w:rPr>
        <w:t>Activity:</w:t>
      </w:r>
      <w:r w:rsidR="000401E8" w:rsidRPr="003A2EB4">
        <w:t xml:space="preserve"> </w:t>
      </w:r>
      <w:r w:rsidR="00CF5138" w:rsidRPr="003A2EB4">
        <w:t>E Tū Whānau</w:t>
      </w:r>
      <w:r w:rsidR="000401E8" w:rsidRPr="003A2EB4">
        <w:br/>
      </w:r>
      <w:r w:rsidRPr="003A2EB4">
        <w:rPr>
          <w:b/>
          <w:bCs/>
        </w:rPr>
        <w:t>Description:</w:t>
      </w:r>
      <w:r w:rsidR="00CF5138" w:rsidRPr="003A2EB4">
        <w:t xml:space="preserve"> E Tū Whānau is a community-led kaupapa Māori initiative, focused on building protective factors to prevent family violence. It addresses local issues, barriers and needs in a practical and context-specific way.</w:t>
      </w:r>
      <w:r w:rsidR="000401E8" w:rsidRPr="003A2EB4">
        <w:br/>
      </w:r>
      <w:r w:rsidRPr="003A2EB4">
        <w:rPr>
          <w:b/>
          <w:bCs/>
        </w:rPr>
        <w:t>Agency:</w:t>
      </w:r>
      <w:r w:rsidR="000401E8" w:rsidRPr="003A2EB4">
        <w:t xml:space="preserve"> </w:t>
      </w:r>
      <w:r w:rsidR="00CF5138" w:rsidRPr="003A2EB4">
        <w:t>Ministry of Social Development</w:t>
      </w:r>
      <w:r w:rsidR="000401E8" w:rsidRPr="003A2EB4">
        <w:br/>
      </w:r>
      <w:r w:rsidRPr="003A2EB4">
        <w:rPr>
          <w:b/>
          <w:bCs/>
        </w:rPr>
        <w:t>Due:</w:t>
      </w:r>
      <w:r w:rsidR="000401E8" w:rsidRPr="003A2EB4">
        <w:t xml:space="preserve"> </w:t>
      </w:r>
      <w:r w:rsidR="00CF5138" w:rsidRPr="003A2EB4">
        <w:t>Ongoing</w:t>
      </w:r>
      <w:r w:rsidR="000401E8" w:rsidRPr="003A2EB4">
        <w:br/>
      </w:r>
      <w:r w:rsidRPr="003A2EB4">
        <w:rPr>
          <w:b/>
          <w:bCs/>
        </w:rPr>
        <w:t>Direct contribution to targets:</w:t>
      </w:r>
      <w:r w:rsidR="000401E8" w:rsidRPr="003A2EB4">
        <w:t xml:space="preserve"> </w:t>
      </w:r>
      <w:r w:rsidR="0070044E" w:rsidRPr="0070044E">
        <w:t>Indirect contribution</w:t>
      </w:r>
    </w:p>
    <w:p w14:paraId="17B5C15D" w14:textId="353216B8" w:rsidR="000401E8" w:rsidRPr="003A2EB4" w:rsidRDefault="007B690D" w:rsidP="000401E8">
      <w:r w:rsidRPr="003A2EB4">
        <w:rPr>
          <w:b/>
          <w:bCs/>
        </w:rPr>
        <w:lastRenderedPageBreak/>
        <w:t>Activity:</w:t>
      </w:r>
      <w:r w:rsidR="000401E8" w:rsidRPr="003A2EB4">
        <w:t xml:space="preserve"> </w:t>
      </w:r>
      <w:r w:rsidR="00207520" w:rsidRPr="003A2EB4">
        <w:t>Community-led sexual violence primary prevention</w:t>
      </w:r>
      <w:r w:rsidR="000401E8" w:rsidRPr="003A2EB4">
        <w:br/>
      </w:r>
      <w:r w:rsidRPr="003A2EB4">
        <w:rPr>
          <w:b/>
          <w:bCs/>
        </w:rPr>
        <w:t>Description:</w:t>
      </w:r>
      <w:r w:rsidR="00207520" w:rsidRPr="003A2EB4">
        <w:t xml:space="preserve"> Investing in community-led action, building a skilled workforce, developing communications to challenge and shift social norms, creating supportive environments, coordinating investment across government, and working with and through others to prevent sexual violence before it occurs.</w:t>
      </w:r>
      <w:r w:rsidR="000401E8" w:rsidRPr="003A2EB4">
        <w:br/>
      </w:r>
      <w:r w:rsidRPr="003A2EB4">
        <w:rPr>
          <w:b/>
          <w:bCs/>
        </w:rPr>
        <w:t>Agency:</w:t>
      </w:r>
      <w:r w:rsidR="000401E8" w:rsidRPr="003A2EB4">
        <w:t xml:space="preserve"> </w:t>
      </w:r>
      <w:r w:rsidR="00207520" w:rsidRPr="003A2EB4">
        <w:t>ACC, Ministry of Social Development, Oranga Tamariki, Department of Internal Affairs, Te Puna Aonui Business Unit</w:t>
      </w:r>
      <w:r w:rsidR="000401E8" w:rsidRPr="003A2EB4">
        <w:br/>
      </w:r>
      <w:r w:rsidRPr="003A2EB4">
        <w:rPr>
          <w:b/>
          <w:bCs/>
        </w:rPr>
        <w:t>Due:</w:t>
      </w:r>
      <w:r w:rsidR="000401E8" w:rsidRPr="003A2EB4">
        <w:t xml:space="preserve"> </w:t>
      </w:r>
      <w:r w:rsidR="007936F7" w:rsidRPr="003A2EB4">
        <w:t>Ongoing</w:t>
      </w:r>
      <w:r w:rsidR="000401E8" w:rsidRPr="003A2EB4">
        <w:br/>
      </w:r>
      <w:r w:rsidRPr="003A2EB4">
        <w:rPr>
          <w:b/>
          <w:bCs/>
        </w:rPr>
        <w:t>Direct contribution to targets:</w:t>
      </w:r>
      <w:r w:rsidR="000401E8" w:rsidRPr="003A2EB4">
        <w:t xml:space="preserve"> </w:t>
      </w:r>
      <w:r w:rsidR="009F3776">
        <w:t>Indirect contribution</w:t>
      </w:r>
    </w:p>
    <w:p w14:paraId="1C66E2E9" w14:textId="466110AF" w:rsidR="000401E8" w:rsidRPr="003A2EB4" w:rsidRDefault="007B690D" w:rsidP="000401E8">
      <w:r w:rsidRPr="003A2EB4">
        <w:rPr>
          <w:b/>
          <w:bCs/>
        </w:rPr>
        <w:t>Activity:</w:t>
      </w:r>
      <w:r w:rsidR="000401E8" w:rsidRPr="003A2EB4">
        <w:t xml:space="preserve"> </w:t>
      </w:r>
      <w:r w:rsidR="0009338D" w:rsidRPr="003A2EB4">
        <w:t>Elder Abuse Response Service</w:t>
      </w:r>
      <w:r w:rsidR="000401E8" w:rsidRPr="003A2EB4">
        <w:br/>
      </w:r>
      <w:r w:rsidRPr="003A2EB4">
        <w:rPr>
          <w:b/>
          <w:bCs/>
        </w:rPr>
        <w:t>Description:</w:t>
      </w:r>
      <w:r w:rsidR="0009338D" w:rsidRPr="003A2EB4">
        <w:t xml:space="preserve"> The Elder Abuse Response Service addresses the immediate needs of older people experiencing, or at risk of abuse, and neglect.</w:t>
      </w:r>
      <w:r w:rsidR="000401E8" w:rsidRPr="003A2EB4">
        <w:br/>
      </w:r>
      <w:r w:rsidRPr="003A2EB4">
        <w:rPr>
          <w:b/>
          <w:bCs/>
        </w:rPr>
        <w:t>Agency:</w:t>
      </w:r>
      <w:r w:rsidR="000401E8" w:rsidRPr="003A2EB4">
        <w:t xml:space="preserve"> </w:t>
      </w:r>
      <w:r w:rsidR="0009338D" w:rsidRPr="003A2EB4">
        <w:t>Ministry of Social Development</w:t>
      </w:r>
      <w:r w:rsidR="000401E8" w:rsidRPr="003A2EB4">
        <w:br/>
      </w:r>
      <w:r w:rsidRPr="003A2EB4">
        <w:rPr>
          <w:b/>
          <w:bCs/>
        </w:rPr>
        <w:t>Due:</w:t>
      </w:r>
      <w:r w:rsidR="000401E8" w:rsidRPr="003A2EB4">
        <w:t xml:space="preserve"> </w:t>
      </w:r>
      <w:r w:rsidR="0009338D" w:rsidRPr="003A2EB4">
        <w:t>Ongoing</w:t>
      </w:r>
      <w:r w:rsidR="000401E8" w:rsidRPr="003A2EB4">
        <w:br/>
      </w:r>
      <w:r w:rsidRPr="003A2EB4">
        <w:rPr>
          <w:b/>
          <w:bCs/>
        </w:rPr>
        <w:t>Direct contribution to targets:</w:t>
      </w:r>
      <w:r w:rsidR="000401E8" w:rsidRPr="003A2EB4">
        <w:t xml:space="preserve"> Target 4 – reducing violent crime</w:t>
      </w:r>
    </w:p>
    <w:p w14:paraId="3DC60C53" w14:textId="37C9DE4F" w:rsidR="000401E8" w:rsidRPr="003A2EB4" w:rsidRDefault="007B690D" w:rsidP="000401E8">
      <w:r w:rsidRPr="003A2EB4">
        <w:rPr>
          <w:b/>
          <w:bCs/>
        </w:rPr>
        <w:t>Activity:</w:t>
      </w:r>
      <w:r w:rsidR="000401E8" w:rsidRPr="003A2EB4">
        <w:t xml:space="preserve"> </w:t>
      </w:r>
      <w:r w:rsidR="0009338D" w:rsidRPr="003A2EB4">
        <w:t>Disability Abuse Prevention and Response Programme</w:t>
      </w:r>
      <w:r w:rsidR="000401E8" w:rsidRPr="003A2EB4">
        <w:br/>
      </w:r>
      <w:r w:rsidRPr="003A2EB4">
        <w:rPr>
          <w:b/>
          <w:bCs/>
        </w:rPr>
        <w:t>Description:</w:t>
      </w:r>
      <w:r w:rsidR="0009338D" w:rsidRPr="003A2EB4">
        <w:t xml:space="preserve"> Included within this work programme is the implementation of safeguarding responses for disabled adults at risk, which aims to prevent, report, investigate, and respond to alleged or identified family harm and other forms of abuse, neglect, or harm of vulnerable adults.</w:t>
      </w:r>
      <w:r w:rsidR="000401E8" w:rsidRPr="003A2EB4">
        <w:br/>
      </w:r>
      <w:r w:rsidRPr="003A2EB4">
        <w:rPr>
          <w:b/>
          <w:bCs/>
        </w:rPr>
        <w:t>Agency:</w:t>
      </w:r>
      <w:r w:rsidR="000401E8" w:rsidRPr="003A2EB4">
        <w:t xml:space="preserve"> </w:t>
      </w:r>
      <w:r w:rsidR="00091ADE" w:rsidRPr="003A2EB4">
        <w:t>Whaikaha - Ministry of Disabled People</w:t>
      </w:r>
      <w:r w:rsidR="000401E8" w:rsidRPr="003A2EB4">
        <w:br/>
      </w:r>
      <w:r w:rsidRPr="003A2EB4">
        <w:rPr>
          <w:b/>
          <w:bCs/>
        </w:rPr>
        <w:t>Due:</w:t>
      </w:r>
      <w:r w:rsidR="000401E8" w:rsidRPr="003A2EB4">
        <w:t xml:space="preserve"> </w:t>
      </w:r>
      <w:r w:rsidR="00091ADE" w:rsidRPr="003A2EB4">
        <w:t xml:space="preserve">30 </w:t>
      </w:r>
      <w:r w:rsidR="00B968FF" w:rsidRPr="003A2EB4">
        <w:t>June</w:t>
      </w:r>
      <w:r w:rsidR="00091ADE" w:rsidRPr="003A2EB4">
        <w:t xml:space="preserve"> 2027</w:t>
      </w:r>
      <w:r w:rsidR="000401E8" w:rsidRPr="003A2EB4">
        <w:br/>
      </w:r>
      <w:r w:rsidRPr="003A2EB4">
        <w:rPr>
          <w:b/>
          <w:bCs/>
        </w:rPr>
        <w:t>Direct contribution to targets:</w:t>
      </w:r>
      <w:r w:rsidR="000401E8" w:rsidRPr="003A2EB4">
        <w:t xml:space="preserve"> </w:t>
      </w:r>
      <w:r w:rsidR="003634AC" w:rsidRPr="003634AC">
        <w:t>Indirect contribution</w:t>
      </w:r>
    </w:p>
    <w:p w14:paraId="0DA93F5C" w14:textId="642FD3B4" w:rsidR="000401E8" w:rsidRPr="003A2EB4" w:rsidRDefault="007B690D" w:rsidP="000401E8">
      <w:r w:rsidRPr="003A2EB4">
        <w:rPr>
          <w:b/>
          <w:bCs/>
        </w:rPr>
        <w:t>Activity:</w:t>
      </w:r>
      <w:r w:rsidR="000401E8" w:rsidRPr="003A2EB4">
        <w:t xml:space="preserve"> </w:t>
      </w:r>
      <w:r w:rsidR="00091ADE" w:rsidRPr="003A2EB4">
        <w:t>Whānau-Centred Facilitation Initiative</w:t>
      </w:r>
      <w:r w:rsidR="000401E8" w:rsidRPr="003A2EB4">
        <w:br/>
      </w:r>
      <w:r w:rsidRPr="003A2EB4">
        <w:rPr>
          <w:b/>
          <w:bCs/>
        </w:rPr>
        <w:t>Description:</w:t>
      </w:r>
      <w:r w:rsidR="00091ADE" w:rsidRPr="003A2EB4">
        <w:t xml:space="preserve"> The Whānau-Centred Facilitation Initiative supports whānau-centred family violence prevention and restoration of healing by kaupapa Māori providers, improving service access, restoring whānau relationships, and fostering better health and safety outcomes.</w:t>
      </w:r>
      <w:r w:rsidR="000401E8" w:rsidRPr="003A2EB4">
        <w:br/>
      </w:r>
      <w:r w:rsidRPr="003A2EB4">
        <w:rPr>
          <w:b/>
          <w:bCs/>
        </w:rPr>
        <w:t>Agency:</w:t>
      </w:r>
      <w:r w:rsidR="000401E8" w:rsidRPr="003A2EB4">
        <w:t xml:space="preserve"> </w:t>
      </w:r>
      <w:r w:rsidR="00091ADE" w:rsidRPr="003A2EB4">
        <w:t>Te Puni Kōkiri</w:t>
      </w:r>
      <w:r w:rsidR="000401E8" w:rsidRPr="003A2EB4">
        <w:br/>
      </w:r>
      <w:r w:rsidRPr="003A2EB4">
        <w:rPr>
          <w:b/>
          <w:bCs/>
        </w:rPr>
        <w:t>Due:</w:t>
      </w:r>
      <w:r w:rsidR="000401E8" w:rsidRPr="003A2EB4">
        <w:t xml:space="preserve"> </w:t>
      </w:r>
      <w:r w:rsidR="00091ADE" w:rsidRPr="003A2EB4">
        <w:t>Ongoing</w:t>
      </w:r>
      <w:r w:rsidR="000401E8" w:rsidRPr="003A2EB4">
        <w:br/>
      </w:r>
      <w:r w:rsidRPr="003A2EB4">
        <w:rPr>
          <w:b/>
          <w:bCs/>
        </w:rPr>
        <w:t>Direct contribution to targets:</w:t>
      </w:r>
      <w:r w:rsidR="000401E8" w:rsidRPr="003A2EB4">
        <w:t xml:space="preserve"> </w:t>
      </w:r>
      <w:r w:rsidR="0070044E" w:rsidRPr="0070044E">
        <w:t>Indirect contribution</w:t>
      </w:r>
    </w:p>
    <w:p w14:paraId="597DF154" w14:textId="77777777" w:rsidR="00B44A56" w:rsidRPr="003A2EB4" w:rsidRDefault="00B44A56">
      <w:pPr>
        <w:autoSpaceDE/>
        <w:autoSpaceDN/>
        <w:adjustRightInd/>
        <w:spacing w:before="0" w:after="160" w:line="259" w:lineRule="auto"/>
        <w:rPr>
          <w:rFonts w:eastAsia="Times New Roman"/>
          <w:b/>
          <w:color w:val="293D8A"/>
          <w:sz w:val="32"/>
          <w:szCs w:val="32"/>
          <w:lang w:eastAsia="ja-JP"/>
          <w14:ligatures w14:val="none"/>
        </w:rPr>
      </w:pPr>
      <w:r w:rsidRPr="003A2EB4">
        <w:br w:type="page"/>
      </w:r>
    </w:p>
    <w:p w14:paraId="234EBC5E" w14:textId="7A383609" w:rsidR="008D2546" w:rsidRPr="003A2EB4" w:rsidRDefault="008D2546" w:rsidP="00652AB0">
      <w:pPr>
        <w:pStyle w:val="Heading1"/>
      </w:pPr>
      <w:r w:rsidRPr="003A2EB4">
        <w:lastRenderedPageBreak/>
        <w:t>Endnotes</w:t>
      </w:r>
    </w:p>
    <w:p w14:paraId="04733B6A" w14:textId="133A2A09" w:rsidR="002619B7" w:rsidRPr="003A2EB4" w:rsidRDefault="002619B7" w:rsidP="00652AB0">
      <w:pPr>
        <w:pStyle w:val="ListParagraph"/>
        <w:numPr>
          <w:ilvl w:val="0"/>
          <w:numId w:val="47"/>
        </w:numPr>
        <w:spacing w:before="240"/>
        <w:rPr>
          <w:lang w:val="en-US" w:eastAsia="ja-JP"/>
        </w:rPr>
      </w:pPr>
      <w:r w:rsidRPr="003A2EB4">
        <w:rPr>
          <w:lang w:eastAsia="ja-JP"/>
        </w:rPr>
        <w:t xml:space="preserve">NZCVS Data Tables 2023 (Cycle 6) Sexual violence and family offences. Retrieved from </w:t>
      </w:r>
      <w:hyperlink r:id="rId12" w:history="1">
        <w:r w:rsidRPr="003A2EB4">
          <w:rPr>
            <w:rStyle w:val="Hyperlink"/>
            <w:color w:val="auto"/>
            <w:lang w:eastAsia="ja-JP"/>
          </w:rPr>
          <w:t>https://www.justice.govt.nz/assets/Documents/Publications/NZCVS-2023-Cycle-6-Sexual-violence-and-family-offences.xlsx</w:t>
        </w:r>
      </w:hyperlink>
    </w:p>
    <w:p w14:paraId="53BB0D13" w14:textId="396B4A53" w:rsidR="002619B7" w:rsidRPr="003A2EB4" w:rsidRDefault="002619B7" w:rsidP="002619B7">
      <w:pPr>
        <w:numPr>
          <w:ilvl w:val="0"/>
          <w:numId w:val="21"/>
        </w:numPr>
        <w:rPr>
          <w:lang w:val="en-US" w:eastAsia="ja-JP"/>
        </w:rPr>
      </w:pPr>
      <w:r w:rsidRPr="003A2EB4">
        <w:rPr>
          <w:lang w:eastAsia="ja-JP"/>
        </w:rPr>
        <w:t xml:space="preserve">Fanslow, J., Mellar, B., Gulliver, P., &amp; McIntosh, T. (2023). Ethnic-specific prevalence rates of intimate partner violence against women in New Zealand. </w:t>
      </w:r>
      <w:r w:rsidRPr="003A2EB4">
        <w:rPr>
          <w:i/>
          <w:iCs/>
          <w:lang w:eastAsia="ja-JP"/>
        </w:rPr>
        <w:t>Australian and New Zealand Journal of Public Health</w:t>
      </w:r>
      <w:r w:rsidRPr="003A2EB4">
        <w:rPr>
          <w:lang w:eastAsia="ja-JP"/>
        </w:rPr>
        <w:t>, 47(6), 100105.</w:t>
      </w:r>
    </w:p>
    <w:p w14:paraId="4DEC5545" w14:textId="7E901BA5" w:rsidR="00AC0DA3" w:rsidRPr="00AC0DA3" w:rsidRDefault="002619B7" w:rsidP="002619B7">
      <w:pPr>
        <w:numPr>
          <w:ilvl w:val="0"/>
          <w:numId w:val="21"/>
        </w:numPr>
        <w:rPr>
          <w:lang w:val="en-US" w:eastAsia="ja-JP"/>
        </w:rPr>
      </w:pPr>
      <w:r w:rsidRPr="003A2EB4">
        <w:rPr>
          <w:lang w:eastAsia="ja-JP"/>
        </w:rPr>
        <w:t>NZCVS Data Tables 2023 (Cycle 6) Sexual violence and family offences</w:t>
      </w:r>
      <w:r w:rsidR="00AC0DA3">
        <w:rPr>
          <w:lang w:eastAsia="ja-JP"/>
        </w:rPr>
        <w:t>.</w:t>
      </w:r>
    </w:p>
    <w:p w14:paraId="49F17B40" w14:textId="2872844A" w:rsidR="002619B7" w:rsidRPr="003A2EB4" w:rsidRDefault="002619B7" w:rsidP="00AC0DA3">
      <w:pPr>
        <w:ind w:left="360"/>
        <w:rPr>
          <w:lang w:val="en-US" w:eastAsia="ja-JP"/>
        </w:rPr>
      </w:pPr>
      <w:r w:rsidRPr="003A2EB4">
        <w:rPr>
          <w:lang w:eastAsia="ja-JP"/>
        </w:rPr>
        <w:t>HELP Auckland</w:t>
      </w:r>
      <w:r w:rsidR="00F339D7">
        <w:rPr>
          <w:lang w:eastAsia="ja-JP"/>
        </w:rPr>
        <w:t xml:space="preserve"> </w:t>
      </w:r>
      <w:r w:rsidR="00F339D7" w:rsidRPr="00F339D7">
        <w:rPr>
          <w:lang w:eastAsia="ja-JP"/>
        </w:rPr>
        <w:t>(2023)</w:t>
      </w:r>
      <w:r w:rsidRPr="003A2EB4">
        <w:rPr>
          <w:lang w:eastAsia="ja-JP"/>
        </w:rPr>
        <w:t xml:space="preserve"> </w:t>
      </w:r>
      <w:r w:rsidRPr="003A2EB4">
        <w:rPr>
          <w:i/>
          <w:iCs/>
          <w:lang w:eastAsia="ja-JP"/>
        </w:rPr>
        <w:t>Preventing sexual abuse: Supporting survivors</w:t>
      </w:r>
      <w:r w:rsidRPr="003A2EB4">
        <w:rPr>
          <w:lang w:eastAsia="ja-JP"/>
        </w:rPr>
        <w:t xml:space="preserve">. Retrieved from </w:t>
      </w:r>
      <w:hyperlink r:id="rId13" w:history="1">
        <w:r w:rsidRPr="003A2EB4">
          <w:rPr>
            <w:rStyle w:val="Hyperlink"/>
            <w:color w:val="auto"/>
            <w:lang w:eastAsia="ja-JP"/>
          </w:rPr>
          <w:t>https://helpauckland.org.nz/wp-content/uploa</w:t>
        </w:r>
        <w:r w:rsidR="00204152" w:rsidRPr="003A2EB4">
          <w:rPr>
            <w:rStyle w:val="Hyperlink"/>
            <w:color w:val="auto"/>
            <w:lang w:eastAsia="ja-JP"/>
          </w:rPr>
          <w:t>ds/sexual-abuse-statistics-september</w:t>
        </w:r>
        <w:r w:rsidRPr="003A2EB4">
          <w:rPr>
            <w:rStyle w:val="Hyperlink"/>
            <w:color w:val="auto"/>
            <w:lang w:eastAsia="ja-JP"/>
          </w:rPr>
          <w:t>-2023.pdf</w:t>
        </w:r>
      </w:hyperlink>
    </w:p>
    <w:p w14:paraId="50122EED" w14:textId="357EFC4A" w:rsidR="002619B7" w:rsidRPr="003A2EB4" w:rsidRDefault="002619B7" w:rsidP="002619B7">
      <w:pPr>
        <w:numPr>
          <w:ilvl w:val="0"/>
          <w:numId w:val="21"/>
        </w:numPr>
        <w:rPr>
          <w:lang w:val="en-US" w:eastAsia="ja-JP"/>
        </w:rPr>
      </w:pPr>
      <w:r w:rsidRPr="003A2EB4">
        <w:rPr>
          <w:lang w:eastAsia="ja-JP"/>
        </w:rPr>
        <w:t xml:space="preserve">Ministry of Justice. (2023). </w:t>
      </w:r>
      <w:r w:rsidRPr="003A2EB4">
        <w:rPr>
          <w:i/>
          <w:iCs/>
          <w:lang w:eastAsia="ja-JP"/>
        </w:rPr>
        <w:t>Five years of insights on crime and victimisation in Aotearoa</w:t>
      </w:r>
      <w:r w:rsidRPr="003A2EB4">
        <w:rPr>
          <w:lang w:eastAsia="ja-JP"/>
        </w:rPr>
        <w:t xml:space="preserve"> [Poster]. Retrieved from </w:t>
      </w:r>
      <w:hyperlink r:id="rId14" w:history="1">
        <w:r w:rsidRPr="003A2EB4">
          <w:rPr>
            <w:rStyle w:val="Hyperlink"/>
            <w:color w:val="auto"/>
            <w:lang w:eastAsia="ja-JP"/>
          </w:rPr>
          <w:t>https://www.justice.govt.nz/assets/documents/publications/nzcvs-5-years-poster-web.pdf</w:t>
        </w:r>
      </w:hyperlink>
    </w:p>
    <w:p w14:paraId="649F0A6B" w14:textId="09CE1B57" w:rsidR="002619B7" w:rsidRPr="003A2EB4" w:rsidRDefault="002619B7" w:rsidP="002619B7">
      <w:pPr>
        <w:numPr>
          <w:ilvl w:val="0"/>
          <w:numId w:val="21"/>
        </w:numPr>
        <w:rPr>
          <w:lang w:val="en-US" w:eastAsia="ja-JP"/>
        </w:rPr>
      </w:pPr>
      <w:r w:rsidRPr="003A2EB4">
        <w:rPr>
          <w:lang w:eastAsia="ja-JP"/>
        </w:rPr>
        <w:t xml:space="preserve">Fanslow, J., Mellar, B., Gulliver, P., &amp; McIntosh, T. (2023). Ethnic-specific prevalence rates of intimate partner violence against women in New Zealand. </w:t>
      </w:r>
      <w:r w:rsidRPr="003A2EB4">
        <w:rPr>
          <w:i/>
          <w:iCs/>
          <w:lang w:eastAsia="ja-JP"/>
        </w:rPr>
        <w:t>Australian and New Zealand Journal of Public Health</w:t>
      </w:r>
      <w:r w:rsidRPr="003A2EB4">
        <w:rPr>
          <w:lang w:eastAsia="ja-JP"/>
        </w:rPr>
        <w:t>, 47(6).</w:t>
      </w:r>
    </w:p>
    <w:p w14:paraId="445FA049" w14:textId="42FB8BDB" w:rsidR="002619B7" w:rsidRPr="003A2EB4" w:rsidRDefault="002619B7" w:rsidP="002619B7">
      <w:pPr>
        <w:numPr>
          <w:ilvl w:val="0"/>
          <w:numId w:val="21"/>
        </w:numPr>
        <w:rPr>
          <w:lang w:val="en-US" w:eastAsia="ja-JP"/>
        </w:rPr>
      </w:pPr>
      <w:r w:rsidRPr="003A2EB4">
        <w:rPr>
          <w:lang w:eastAsia="ja-JP"/>
        </w:rPr>
        <w:t xml:space="preserve">Fanslow, J., Malihi, Z., Hashemi, L., et al. (2022). Prevalence of interpersonal violence against women and men in New Zealand: results of a cross-sectional study. </w:t>
      </w:r>
      <w:r w:rsidRPr="003A2EB4">
        <w:rPr>
          <w:i/>
          <w:iCs/>
          <w:lang w:eastAsia="ja-JP"/>
        </w:rPr>
        <w:t>Australian and New Zealand Journal of Public Health</w:t>
      </w:r>
      <w:r w:rsidRPr="003A2EB4">
        <w:rPr>
          <w:lang w:eastAsia="ja-JP"/>
        </w:rPr>
        <w:t>, 46(2).</w:t>
      </w:r>
    </w:p>
    <w:p w14:paraId="2394DC33" w14:textId="473133B0" w:rsidR="002619B7" w:rsidRPr="003A2EB4" w:rsidRDefault="002619B7" w:rsidP="002619B7">
      <w:pPr>
        <w:numPr>
          <w:ilvl w:val="0"/>
          <w:numId w:val="21"/>
        </w:numPr>
        <w:rPr>
          <w:lang w:val="en-US" w:eastAsia="ja-JP"/>
        </w:rPr>
      </w:pPr>
      <w:r w:rsidRPr="003A2EB4">
        <w:rPr>
          <w:lang w:eastAsia="ja-JP"/>
        </w:rPr>
        <w:t xml:space="preserve">New Zealand Police. (2024). </w:t>
      </w:r>
      <w:r w:rsidRPr="003A2EB4">
        <w:rPr>
          <w:i/>
          <w:iCs/>
          <w:lang w:eastAsia="ja-JP"/>
        </w:rPr>
        <w:t>NZ Police statistics on homicide victims in New Zealand 2007-2021: A summary of statistics about victims of murder, manslaughter, and infanticide</w:t>
      </w:r>
      <w:r w:rsidRPr="003A2EB4">
        <w:rPr>
          <w:lang w:eastAsia="ja-JP"/>
        </w:rPr>
        <w:t>. Wellington: New Zealand Police.</w:t>
      </w:r>
    </w:p>
    <w:p w14:paraId="20D0558A" w14:textId="4598CCB1" w:rsidR="002619B7" w:rsidRPr="003A2EB4" w:rsidRDefault="002619B7" w:rsidP="002619B7">
      <w:pPr>
        <w:numPr>
          <w:ilvl w:val="0"/>
          <w:numId w:val="21"/>
        </w:numPr>
        <w:rPr>
          <w:lang w:val="en-US" w:eastAsia="ja-JP"/>
        </w:rPr>
      </w:pPr>
      <w:r w:rsidRPr="003A2EB4">
        <w:rPr>
          <w:lang w:eastAsia="ja-JP"/>
        </w:rPr>
        <w:t xml:space="preserve">Ministry of Justice. (2023). </w:t>
      </w:r>
      <w:r w:rsidRPr="003A2EB4">
        <w:rPr>
          <w:i/>
          <w:iCs/>
          <w:lang w:eastAsia="ja-JP"/>
        </w:rPr>
        <w:t>New Zealand Crime and Victims Survey Cycle 3</w:t>
      </w:r>
      <w:r w:rsidRPr="003A2EB4">
        <w:rPr>
          <w:lang w:eastAsia="ja-JP"/>
        </w:rPr>
        <w:t>. Ministry of Justice.</w:t>
      </w:r>
    </w:p>
    <w:p w14:paraId="736E4DC5" w14:textId="11F16F68" w:rsidR="002619B7" w:rsidRPr="003A2EB4" w:rsidRDefault="002619B7" w:rsidP="002619B7">
      <w:pPr>
        <w:numPr>
          <w:ilvl w:val="0"/>
          <w:numId w:val="21"/>
        </w:numPr>
        <w:rPr>
          <w:lang w:val="en-US" w:eastAsia="ja-JP"/>
        </w:rPr>
      </w:pPr>
      <w:r w:rsidRPr="003A2EB4">
        <w:rPr>
          <w:lang w:eastAsia="ja-JP"/>
        </w:rPr>
        <w:t xml:space="preserve">Ministry of Social Development. (2021). </w:t>
      </w:r>
      <w:r w:rsidRPr="003A2EB4">
        <w:rPr>
          <w:i/>
          <w:iCs/>
          <w:lang w:eastAsia="ja-JP"/>
        </w:rPr>
        <w:t>What About Me? National Youth Health and Wellbeing Survey</w:t>
      </w:r>
      <w:r w:rsidRPr="003A2EB4">
        <w:rPr>
          <w:lang w:eastAsia="ja-JP"/>
        </w:rPr>
        <w:t>. Ministry of Social Development.</w:t>
      </w:r>
    </w:p>
    <w:p w14:paraId="69AA7912" w14:textId="764B98BB" w:rsidR="002619B7" w:rsidRPr="003A2EB4" w:rsidRDefault="002619B7" w:rsidP="002619B7">
      <w:pPr>
        <w:numPr>
          <w:ilvl w:val="0"/>
          <w:numId w:val="21"/>
        </w:numPr>
        <w:rPr>
          <w:lang w:val="en-US" w:eastAsia="ja-JP"/>
        </w:rPr>
      </w:pPr>
      <w:r w:rsidRPr="003A2EB4">
        <w:rPr>
          <w:lang w:eastAsia="ja-JP"/>
        </w:rPr>
        <w:t xml:space="preserve">Ministry of Justice. (2023). </w:t>
      </w:r>
      <w:r w:rsidRPr="003A2EB4">
        <w:rPr>
          <w:i/>
          <w:iCs/>
          <w:lang w:eastAsia="ja-JP"/>
        </w:rPr>
        <w:t>New Zealand Crime and Victims Survey, Cycle 6</w:t>
      </w:r>
      <w:r w:rsidRPr="003A2EB4">
        <w:rPr>
          <w:lang w:eastAsia="ja-JP"/>
        </w:rPr>
        <w:t>. Ministry of Justice.</w:t>
      </w:r>
    </w:p>
    <w:p w14:paraId="4BF3A724" w14:textId="3AD0BEFF" w:rsidR="002619B7" w:rsidRPr="003A2EB4" w:rsidRDefault="002619B7" w:rsidP="002619B7">
      <w:pPr>
        <w:numPr>
          <w:ilvl w:val="0"/>
          <w:numId w:val="21"/>
        </w:numPr>
        <w:rPr>
          <w:lang w:val="en-US" w:eastAsia="ja-JP"/>
        </w:rPr>
      </w:pPr>
      <w:r w:rsidRPr="003A2EB4">
        <w:rPr>
          <w:lang w:eastAsia="ja-JP"/>
        </w:rPr>
        <w:t xml:space="preserve">Family Violence Death Review Committee. (2014). </w:t>
      </w:r>
      <w:r w:rsidRPr="003A2EB4">
        <w:rPr>
          <w:i/>
          <w:iCs/>
          <w:lang w:eastAsia="ja-JP"/>
        </w:rPr>
        <w:t xml:space="preserve">Fourth Annual Report. </w:t>
      </w:r>
      <w:r w:rsidR="00B968FF" w:rsidRPr="003A2EB4">
        <w:rPr>
          <w:i/>
          <w:iCs/>
          <w:lang w:eastAsia="ja-JP"/>
        </w:rPr>
        <w:t>January</w:t>
      </w:r>
      <w:r w:rsidRPr="003A2EB4">
        <w:rPr>
          <w:i/>
          <w:iCs/>
          <w:lang w:eastAsia="ja-JP"/>
        </w:rPr>
        <w:t xml:space="preserve"> 2013 to December 2013</w:t>
      </w:r>
      <w:r w:rsidRPr="003A2EB4">
        <w:rPr>
          <w:lang w:eastAsia="ja-JP"/>
        </w:rPr>
        <w:t>. Wellington: Family Violence Death Review Committee.</w:t>
      </w:r>
    </w:p>
    <w:p w14:paraId="5D5FF6BA" w14:textId="29DF85E9" w:rsidR="002619B7" w:rsidRPr="003A2EB4" w:rsidRDefault="002619B7" w:rsidP="002619B7">
      <w:pPr>
        <w:numPr>
          <w:ilvl w:val="0"/>
          <w:numId w:val="21"/>
        </w:numPr>
        <w:rPr>
          <w:lang w:val="en-US" w:eastAsia="ja-JP"/>
        </w:rPr>
      </w:pPr>
      <w:r w:rsidRPr="003A2EB4">
        <w:rPr>
          <w:lang w:eastAsia="ja-JP"/>
        </w:rPr>
        <w:t xml:space="preserve">Ministry of Social Development. (2021). </w:t>
      </w:r>
      <w:r w:rsidRPr="003A2EB4">
        <w:rPr>
          <w:i/>
          <w:iCs/>
          <w:lang w:eastAsia="ja-JP"/>
        </w:rPr>
        <w:t>What about me? National Youth Health and Wellbeing Survey</w:t>
      </w:r>
      <w:r w:rsidRPr="003A2EB4">
        <w:rPr>
          <w:lang w:eastAsia="ja-JP"/>
        </w:rPr>
        <w:t>. Ministry of Social Development.</w:t>
      </w:r>
    </w:p>
    <w:p w14:paraId="458937EE" w14:textId="7F20FF3A" w:rsidR="002619B7" w:rsidRPr="003A2EB4" w:rsidRDefault="002619B7" w:rsidP="002619B7">
      <w:pPr>
        <w:numPr>
          <w:ilvl w:val="0"/>
          <w:numId w:val="21"/>
        </w:numPr>
        <w:rPr>
          <w:lang w:val="en-US" w:eastAsia="ja-JP"/>
        </w:rPr>
      </w:pPr>
      <w:r w:rsidRPr="003A2EB4">
        <w:rPr>
          <w:lang w:eastAsia="ja-JP"/>
        </w:rPr>
        <w:t xml:space="preserve">Ministry of Justice. (2023). </w:t>
      </w:r>
      <w:r w:rsidRPr="003A2EB4">
        <w:rPr>
          <w:i/>
          <w:iCs/>
          <w:lang w:eastAsia="ja-JP"/>
        </w:rPr>
        <w:t>New Zealand Crime and Victims Survey, Cycle 6</w:t>
      </w:r>
      <w:r w:rsidRPr="003A2EB4">
        <w:rPr>
          <w:lang w:eastAsia="ja-JP"/>
        </w:rPr>
        <w:t>. Ministry of Justice.</w:t>
      </w:r>
    </w:p>
    <w:p w14:paraId="3C3370B1" w14:textId="2FEC4E21" w:rsidR="002619B7" w:rsidRPr="003A2EB4" w:rsidRDefault="002619B7" w:rsidP="002619B7">
      <w:pPr>
        <w:numPr>
          <w:ilvl w:val="0"/>
          <w:numId w:val="21"/>
        </w:numPr>
        <w:rPr>
          <w:lang w:val="en-US" w:eastAsia="ja-JP"/>
        </w:rPr>
      </w:pPr>
      <w:r w:rsidRPr="003A2EB4">
        <w:rPr>
          <w:lang w:eastAsia="ja-JP"/>
        </w:rPr>
        <w:t xml:space="preserve">Office for Seniors. (n.d.). Retrieved from </w:t>
      </w:r>
      <w:hyperlink r:id="rId15" w:history="1">
        <w:r w:rsidRPr="003A2EB4">
          <w:rPr>
            <w:rStyle w:val="Hyperlink"/>
            <w:color w:val="auto"/>
            <w:lang w:eastAsia="ja-JP"/>
          </w:rPr>
          <w:t>https://officeforseniors.govt.nz/our-work/raising-awareness-of-elder-abuse</w:t>
        </w:r>
      </w:hyperlink>
    </w:p>
    <w:p w14:paraId="1C76F7DE" w14:textId="177E1DC9" w:rsidR="002619B7" w:rsidRPr="003A2EB4" w:rsidRDefault="002619B7" w:rsidP="002619B7">
      <w:pPr>
        <w:numPr>
          <w:ilvl w:val="0"/>
          <w:numId w:val="21"/>
        </w:numPr>
        <w:rPr>
          <w:lang w:val="en-US" w:eastAsia="ja-JP"/>
        </w:rPr>
      </w:pPr>
      <w:r w:rsidRPr="003A2EB4">
        <w:rPr>
          <w:lang w:eastAsia="ja-JP"/>
        </w:rPr>
        <w:t xml:space="preserve">Ministry of Justice. (2023). </w:t>
      </w:r>
      <w:r w:rsidRPr="003A2EB4">
        <w:rPr>
          <w:i/>
          <w:iCs/>
          <w:lang w:eastAsia="ja-JP"/>
        </w:rPr>
        <w:t>New Zealand Crime and Victims Survey, Cycle 6</w:t>
      </w:r>
      <w:r w:rsidRPr="003A2EB4">
        <w:rPr>
          <w:lang w:eastAsia="ja-JP"/>
        </w:rPr>
        <w:t>. Ministry of Justice.</w:t>
      </w:r>
    </w:p>
    <w:p w14:paraId="2449FDBA" w14:textId="5C495AAB" w:rsidR="002619B7" w:rsidRPr="003A2EB4" w:rsidRDefault="002619B7" w:rsidP="002619B7">
      <w:pPr>
        <w:numPr>
          <w:ilvl w:val="0"/>
          <w:numId w:val="21"/>
        </w:numPr>
        <w:rPr>
          <w:lang w:val="en-US" w:eastAsia="ja-JP"/>
        </w:rPr>
      </w:pPr>
      <w:r w:rsidRPr="003A2EB4">
        <w:rPr>
          <w:lang w:eastAsia="ja-JP"/>
        </w:rPr>
        <w:lastRenderedPageBreak/>
        <w:t xml:space="preserve">Ministry of Justice. (2023). </w:t>
      </w:r>
      <w:r w:rsidRPr="003A2EB4">
        <w:rPr>
          <w:i/>
          <w:iCs/>
          <w:lang w:eastAsia="ja-JP"/>
        </w:rPr>
        <w:t>New Zealand Crime and Victims Survey, Cycle 6</w:t>
      </w:r>
      <w:r w:rsidRPr="003A2EB4">
        <w:rPr>
          <w:lang w:eastAsia="ja-JP"/>
        </w:rPr>
        <w:t>. Ministry of Justice.</w:t>
      </w:r>
    </w:p>
    <w:sectPr w:rsidR="002619B7" w:rsidRPr="003A2EB4" w:rsidSect="006C5656">
      <w:headerReference w:type="even" r:id="rId16"/>
      <w:headerReference w:type="default" r:id="rId17"/>
      <w:footerReference w:type="even" r:id="rId18"/>
      <w:footerReference w:type="default" r:id="rId19"/>
      <w:headerReference w:type="first" r:id="rId20"/>
      <w:footerReference w:type="first" r:id="rId21"/>
      <w:pgSz w:w="11906" w:h="16838"/>
      <w:pgMar w:top="202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0790" w14:textId="77777777" w:rsidR="00D73441" w:rsidRDefault="00D73441" w:rsidP="00E05BEE">
      <w:r>
        <w:separator/>
      </w:r>
    </w:p>
  </w:endnote>
  <w:endnote w:type="continuationSeparator" w:id="0">
    <w:p w14:paraId="523A4D82" w14:textId="77777777" w:rsidR="00D73441" w:rsidRDefault="00D73441" w:rsidP="00E05BEE">
      <w:r>
        <w:continuationSeparator/>
      </w:r>
    </w:p>
  </w:endnote>
  <w:endnote w:type="continuationNotice" w:id="1">
    <w:p w14:paraId="53758C88" w14:textId="77777777" w:rsidR="00765036" w:rsidRDefault="00765036" w:rsidP="00E05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2014">
    <w:altName w:val="Calibri"/>
    <w:panose1 w:val="00000000000000000000"/>
    <w:charset w:val="00"/>
    <w:family w:val="swiss"/>
    <w:notTrueType/>
    <w:pitch w:val="default"/>
    <w:sig w:usb0="00000003" w:usb1="00000000" w:usb2="00000000" w:usb3="00000000" w:csb0="00000001" w:csb1="00000000"/>
  </w:font>
  <w:font w:name="DIN 2014 Demi">
    <w:altName w:val="Calibri"/>
    <w:panose1 w:val="00000000000000000000"/>
    <w:charset w:val="00"/>
    <w:family w:val="swiss"/>
    <w:notTrueType/>
    <w:pitch w:val="default"/>
    <w:sig w:usb0="00000003" w:usb1="00000000" w:usb2="00000000" w:usb3="00000000" w:csb0="00000001" w:csb1="00000000"/>
  </w:font>
  <w:font w:name="URW DIN SemiCond Medium">
    <w:altName w:val="Calibri"/>
    <w:panose1 w:val="00000000000000000000"/>
    <w:charset w:val="00"/>
    <w:family w:val="swiss"/>
    <w:notTrueType/>
    <w:pitch w:val="default"/>
    <w:sig w:usb0="00000003" w:usb1="00000000" w:usb2="00000000" w:usb3="00000000" w:csb0="00000001" w:csb1="00000000"/>
  </w:font>
  <w:font w:name="URW DIN SemiCond Dem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56DE" w14:textId="77777777" w:rsidR="001E5643" w:rsidRDefault="001E5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139052"/>
      <w:docPartObj>
        <w:docPartGallery w:val="Page Numbers (Bottom of Page)"/>
        <w:docPartUnique/>
      </w:docPartObj>
    </w:sdtPr>
    <w:sdtEndPr>
      <w:rPr>
        <w:noProof/>
      </w:rPr>
    </w:sdtEndPr>
    <w:sdtContent>
      <w:p w14:paraId="74A40560" w14:textId="038F536B" w:rsidR="006D51FE" w:rsidRDefault="006D51FE" w:rsidP="00505C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31939E" w14:textId="77777777" w:rsidR="006D51FE" w:rsidRDefault="006D51FE" w:rsidP="00E05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8A34" w14:textId="77777777" w:rsidR="001E5643" w:rsidRDefault="001E5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3DBA" w14:textId="77777777" w:rsidR="00D73441" w:rsidRDefault="00D73441" w:rsidP="00E05BEE">
      <w:r>
        <w:separator/>
      </w:r>
    </w:p>
  </w:footnote>
  <w:footnote w:type="continuationSeparator" w:id="0">
    <w:p w14:paraId="72FD710E" w14:textId="77777777" w:rsidR="00D73441" w:rsidRDefault="00D73441" w:rsidP="00E05BEE">
      <w:r>
        <w:continuationSeparator/>
      </w:r>
    </w:p>
  </w:footnote>
  <w:footnote w:type="continuationNotice" w:id="1">
    <w:p w14:paraId="5F89EFAA" w14:textId="77777777" w:rsidR="00765036" w:rsidRDefault="00765036" w:rsidP="00E05BEE"/>
  </w:footnote>
  <w:footnote w:id="2">
    <w:p w14:paraId="1DDA834B" w14:textId="7BB793F9" w:rsidR="00330EAB" w:rsidRPr="00431DC1" w:rsidRDefault="00330EAB" w:rsidP="00907236">
      <w:pPr>
        <w:pStyle w:val="FootnoteText"/>
        <w:spacing w:before="0"/>
        <w:rPr>
          <w:sz w:val="20"/>
          <w:szCs w:val="16"/>
          <w:lang w:val="en-US"/>
        </w:rPr>
      </w:pPr>
      <w:r w:rsidRPr="00431DC1">
        <w:rPr>
          <w:rStyle w:val="FootnoteReference"/>
          <w:sz w:val="20"/>
          <w:szCs w:val="16"/>
        </w:rPr>
        <w:footnoteRef/>
      </w:r>
      <w:r w:rsidRPr="00431DC1">
        <w:rPr>
          <w:sz w:val="20"/>
          <w:szCs w:val="16"/>
        </w:rPr>
        <w:t xml:space="preserve"> </w:t>
      </w:r>
      <w:r w:rsidR="00BD1381" w:rsidRPr="00431DC1">
        <w:rPr>
          <w:sz w:val="20"/>
          <w:szCs w:val="16"/>
        </w:rPr>
        <w:t xml:space="preserve">NZCVS Data Tables 2023 (Cycle 6) Sexual violence and family offences. Retrieved from </w:t>
      </w:r>
      <w:hyperlink r:id="rId1" w:history="1">
        <w:r w:rsidR="00BD1381" w:rsidRPr="00431DC1">
          <w:rPr>
            <w:rStyle w:val="Hyperlink"/>
            <w:color w:val="auto"/>
            <w:sz w:val="20"/>
            <w:szCs w:val="16"/>
          </w:rPr>
          <w:t>https://www.justice.govt.nz/assets/Documents/Publications/NZCVS-2023-Cycle-6-Sexual-violence-and-family-offences.xlsx</w:t>
        </w:r>
      </w:hyperlink>
    </w:p>
  </w:footnote>
  <w:footnote w:id="3">
    <w:p w14:paraId="3B5269B4" w14:textId="791ED420" w:rsidR="00330EAB" w:rsidRPr="00431DC1" w:rsidRDefault="00330EAB" w:rsidP="00907236">
      <w:pPr>
        <w:pStyle w:val="FootnoteText"/>
        <w:spacing w:before="0"/>
        <w:rPr>
          <w:sz w:val="20"/>
          <w:szCs w:val="16"/>
          <w:lang w:val="en-US"/>
        </w:rPr>
      </w:pPr>
      <w:r w:rsidRPr="00431DC1">
        <w:rPr>
          <w:rStyle w:val="FootnoteReference"/>
          <w:sz w:val="20"/>
          <w:szCs w:val="16"/>
        </w:rPr>
        <w:footnoteRef/>
      </w:r>
      <w:r w:rsidRPr="00431DC1">
        <w:rPr>
          <w:sz w:val="20"/>
          <w:szCs w:val="16"/>
        </w:rPr>
        <w:t xml:space="preserve"> </w:t>
      </w:r>
      <w:r w:rsidR="001C6E54" w:rsidRPr="00431DC1">
        <w:rPr>
          <w:sz w:val="20"/>
          <w:szCs w:val="16"/>
        </w:rPr>
        <w:t xml:space="preserve">Fanslow, J., Mellar, B., Gulliver, P., &amp; McIntosh, T. (2023). Ethnic-specific prevalence rates of intimate partner violence against women in New Zealand. </w:t>
      </w:r>
      <w:r w:rsidR="001C6E54" w:rsidRPr="00431DC1">
        <w:rPr>
          <w:i/>
          <w:iCs/>
          <w:sz w:val="20"/>
          <w:szCs w:val="16"/>
        </w:rPr>
        <w:t>Australian and New Zealand Journal of Public Health</w:t>
      </w:r>
      <w:r w:rsidR="001C6E54" w:rsidRPr="00431DC1">
        <w:rPr>
          <w:sz w:val="20"/>
          <w:szCs w:val="16"/>
        </w:rPr>
        <w:t>, 47(6), 100105.</w:t>
      </w:r>
    </w:p>
  </w:footnote>
  <w:footnote w:id="4">
    <w:p w14:paraId="5B4EE46C" w14:textId="77777777" w:rsidR="00AC0DA3" w:rsidRPr="00431DC1" w:rsidRDefault="000E0509" w:rsidP="00907236">
      <w:pPr>
        <w:pStyle w:val="FootnoteText"/>
        <w:spacing w:before="0"/>
        <w:rPr>
          <w:rFonts w:eastAsia="Times New Roman"/>
          <w:sz w:val="20"/>
          <w:szCs w:val="16"/>
          <w:lang w:eastAsia="en-NZ"/>
          <w14:ligatures w14:val="none"/>
        </w:rPr>
      </w:pPr>
      <w:r w:rsidRPr="00431DC1">
        <w:rPr>
          <w:rStyle w:val="FootnoteReference"/>
          <w:sz w:val="20"/>
          <w:szCs w:val="16"/>
        </w:rPr>
        <w:footnoteRef/>
      </w:r>
      <w:r w:rsidRPr="00431DC1">
        <w:rPr>
          <w:sz w:val="20"/>
          <w:szCs w:val="16"/>
        </w:rPr>
        <w:t xml:space="preserve"> </w:t>
      </w:r>
      <w:r w:rsidR="005E5906" w:rsidRPr="00431DC1">
        <w:rPr>
          <w:rFonts w:eastAsia="Times New Roman"/>
          <w:sz w:val="20"/>
          <w:szCs w:val="16"/>
          <w:lang w:eastAsia="en-NZ"/>
          <w14:ligatures w14:val="none"/>
        </w:rPr>
        <w:t>NZCVS Data Tables 2023 (Cycle 6) Sexual violence and family offences</w:t>
      </w:r>
      <w:r w:rsidR="00AC0DA3" w:rsidRPr="00431DC1">
        <w:rPr>
          <w:rFonts w:eastAsia="Times New Roman"/>
          <w:sz w:val="20"/>
          <w:szCs w:val="16"/>
          <w:lang w:eastAsia="en-NZ"/>
          <w14:ligatures w14:val="none"/>
        </w:rPr>
        <w:t>.</w:t>
      </w:r>
    </w:p>
    <w:p w14:paraId="7E5220C4" w14:textId="0F58D2C7" w:rsidR="000E0509" w:rsidRPr="00431DC1" w:rsidRDefault="005E5906" w:rsidP="00907236">
      <w:pPr>
        <w:pStyle w:val="FootnoteText"/>
        <w:spacing w:before="0"/>
        <w:rPr>
          <w:sz w:val="20"/>
          <w:szCs w:val="16"/>
          <w:lang w:val="en-US"/>
        </w:rPr>
      </w:pPr>
      <w:r w:rsidRPr="00431DC1">
        <w:rPr>
          <w:rFonts w:eastAsia="Times New Roman"/>
          <w:sz w:val="20"/>
          <w:szCs w:val="16"/>
          <w:lang w:eastAsia="en-NZ"/>
          <w14:ligatures w14:val="none"/>
        </w:rPr>
        <w:t>HELP Auckland</w:t>
      </w:r>
      <w:r w:rsidR="00F339D7" w:rsidRPr="00431DC1">
        <w:rPr>
          <w:rFonts w:eastAsia="Times New Roman"/>
          <w:sz w:val="20"/>
          <w:szCs w:val="16"/>
          <w:lang w:eastAsia="en-NZ"/>
          <w14:ligatures w14:val="none"/>
        </w:rPr>
        <w:t xml:space="preserve"> (2023)</w:t>
      </w:r>
      <w:r w:rsidRPr="00431DC1">
        <w:rPr>
          <w:rFonts w:eastAsia="Times New Roman"/>
          <w:sz w:val="20"/>
          <w:szCs w:val="16"/>
          <w:lang w:eastAsia="en-NZ"/>
          <w14:ligatures w14:val="none"/>
        </w:rPr>
        <w:t xml:space="preserve"> </w:t>
      </w:r>
      <w:r w:rsidRPr="00431DC1">
        <w:rPr>
          <w:rStyle w:val="Emphasis"/>
          <w:rFonts w:eastAsia="Times New Roman"/>
          <w:sz w:val="20"/>
          <w:szCs w:val="16"/>
          <w:lang w:eastAsia="en-NZ"/>
          <w14:ligatures w14:val="none"/>
        </w:rPr>
        <w:t>Preventing sexual abuse: Supporting survivors</w:t>
      </w:r>
      <w:r w:rsidRPr="00431DC1">
        <w:rPr>
          <w:rFonts w:eastAsia="Times New Roman"/>
          <w:sz w:val="20"/>
          <w:szCs w:val="16"/>
          <w:lang w:eastAsia="en-NZ"/>
          <w14:ligatures w14:val="none"/>
        </w:rPr>
        <w:t xml:space="preserve">. Retrieved from </w:t>
      </w:r>
      <w:hyperlink r:id="rId2" w:history="1">
        <w:r w:rsidR="00204152" w:rsidRPr="00431DC1">
          <w:rPr>
            <w:rStyle w:val="Hyperlink"/>
            <w:rFonts w:eastAsia="Times New Roman"/>
            <w:color w:val="auto"/>
            <w:sz w:val="20"/>
            <w:szCs w:val="16"/>
            <w:lang w:eastAsia="en-NZ"/>
            <w14:ligatures w14:val="none"/>
          </w:rPr>
          <w:t>https://helpauckland.org.nz/wp-content/uploads/sexual-abuse-statistics-septemb</w:t>
        </w:r>
        <w:r w:rsidRPr="00431DC1">
          <w:rPr>
            <w:rStyle w:val="Hyperlink"/>
            <w:rFonts w:eastAsia="Times New Roman"/>
            <w:color w:val="auto"/>
            <w:sz w:val="20"/>
            <w:szCs w:val="16"/>
            <w:lang w:eastAsia="en-NZ"/>
            <w14:ligatures w14:val="none"/>
          </w:rPr>
          <w:t>er-2023.pdf</w:t>
        </w:r>
      </w:hyperlink>
    </w:p>
  </w:footnote>
  <w:footnote w:id="5">
    <w:p w14:paraId="77EC434E" w14:textId="02E376EF" w:rsidR="00880C48" w:rsidRPr="00431DC1" w:rsidRDefault="00880C48" w:rsidP="00907236">
      <w:pPr>
        <w:pStyle w:val="FootnoteText"/>
        <w:spacing w:before="0"/>
        <w:rPr>
          <w:sz w:val="20"/>
          <w:szCs w:val="16"/>
          <w:lang w:val="en-US"/>
        </w:rPr>
      </w:pPr>
      <w:r w:rsidRPr="00431DC1">
        <w:rPr>
          <w:rStyle w:val="FootnoteReference"/>
          <w:sz w:val="20"/>
          <w:szCs w:val="16"/>
        </w:rPr>
        <w:footnoteRef/>
      </w:r>
      <w:r w:rsidRPr="00431DC1">
        <w:rPr>
          <w:sz w:val="20"/>
          <w:szCs w:val="16"/>
        </w:rPr>
        <w:t xml:space="preserve"> </w:t>
      </w:r>
      <w:r w:rsidR="00E440E8" w:rsidRPr="00431DC1">
        <w:rPr>
          <w:rFonts w:eastAsia="Times New Roman"/>
          <w:sz w:val="20"/>
          <w:szCs w:val="16"/>
          <w:lang w:eastAsia="en-NZ"/>
          <w14:ligatures w14:val="none"/>
        </w:rPr>
        <w:t xml:space="preserve">Ministry of Justice. (2023). </w:t>
      </w:r>
      <w:r w:rsidR="00E440E8" w:rsidRPr="00431DC1">
        <w:rPr>
          <w:rStyle w:val="Emphasis"/>
          <w:rFonts w:eastAsia="Times New Roman"/>
          <w:sz w:val="20"/>
          <w:szCs w:val="16"/>
          <w:lang w:eastAsia="en-NZ"/>
          <w14:ligatures w14:val="none"/>
        </w:rPr>
        <w:t>Five years of insights on crime and victimisation in Aotearoa</w:t>
      </w:r>
      <w:r w:rsidR="00E440E8" w:rsidRPr="00431DC1">
        <w:rPr>
          <w:rFonts w:eastAsia="Times New Roman"/>
          <w:sz w:val="20"/>
          <w:szCs w:val="16"/>
          <w:lang w:eastAsia="en-NZ"/>
          <w14:ligatures w14:val="none"/>
        </w:rPr>
        <w:t xml:space="preserve"> [Poster]. Retrieved from </w:t>
      </w:r>
      <w:hyperlink r:id="rId3" w:history="1">
        <w:r w:rsidR="00E440E8" w:rsidRPr="00431DC1">
          <w:rPr>
            <w:rStyle w:val="Hyperlink"/>
            <w:rFonts w:eastAsia="Times New Roman"/>
            <w:color w:val="auto"/>
            <w:sz w:val="20"/>
            <w:szCs w:val="16"/>
            <w:lang w:eastAsia="en-NZ"/>
            <w14:ligatures w14:val="none"/>
          </w:rPr>
          <w:t>https://www.justice.govt.nz/assets/documents/publications/nzcvs-5-years-poster-web.pdf</w:t>
        </w:r>
      </w:hyperlink>
    </w:p>
  </w:footnote>
  <w:footnote w:id="6">
    <w:p w14:paraId="6E359815" w14:textId="000D6C23" w:rsidR="005B1FE0" w:rsidRPr="00431DC1" w:rsidRDefault="005B1FE0" w:rsidP="00907236">
      <w:pPr>
        <w:pStyle w:val="FootnoteText"/>
        <w:spacing w:before="0"/>
        <w:rPr>
          <w:sz w:val="20"/>
          <w:szCs w:val="16"/>
          <w:lang w:val="en-US"/>
        </w:rPr>
      </w:pPr>
      <w:r w:rsidRPr="00431DC1">
        <w:rPr>
          <w:rStyle w:val="FootnoteReference"/>
          <w:sz w:val="20"/>
          <w:szCs w:val="16"/>
        </w:rPr>
        <w:footnoteRef/>
      </w:r>
      <w:r w:rsidRPr="00431DC1">
        <w:rPr>
          <w:sz w:val="20"/>
          <w:szCs w:val="16"/>
        </w:rPr>
        <w:t xml:space="preserve"> </w:t>
      </w:r>
      <w:r w:rsidR="007A1549" w:rsidRPr="00431DC1">
        <w:rPr>
          <w:sz w:val="20"/>
          <w:szCs w:val="16"/>
        </w:rPr>
        <w:t xml:space="preserve">Fanslow, J., Mellar, B., Gulliver, P., &amp; McIntosh, T. (2023). Ethnic-specific prevalence rates of intimate partner violence against women in New Zealand. </w:t>
      </w:r>
      <w:r w:rsidR="007A1549" w:rsidRPr="00431DC1">
        <w:rPr>
          <w:i/>
          <w:iCs/>
          <w:sz w:val="20"/>
          <w:szCs w:val="16"/>
        </w:rPr>
        <w:t>Australian and New Zealand Journal of Public Health</w:t>
      </w:r>
      <w:r w:rsidR="007A1549" w:rsidRPr="00431DC1">
        <w:rPr>
          <w:sz w:val="20"/>
          <w:szCs w:val="16"/>
        </w:rPr>
        <w:t>, 47(6).</w:t>
      </w:r>
    </w:p>
  </w:footnote>
  <w:footnote w:id="7">
    <w:p w14:paraId="68E3C8D2" w14:textId="2BF1BEB1" w:rsidR="00880C48" w:rsidRPr="00431DC1" w:rsidRDefault="00880C48" w:rsidP="00907236">
      <w:pPr>
        <w:pStyle w:val="FootnoteText"/>
        <w:spacing w:before="0"/>
        <w:rPr>
          <w:sz w:val="20"/>
          <w:szCs w:val="16"/>
          <w:lang w:val="en-US"/>
        </w:rPr>
      </w:pPr>
      <w:r w:rsidRPr="00431DC1">
        <w:rPr>
          <w:rStyle w:val="FootnoteReference"/>
          <w:sz w:val="20"/>
          <w:szCs w:val="16"/>
        </w:rPr>
        <w:footnoteRef/>
      </w:r>
      <w:r w:rsidRPr="00431DC1">
        <w:rPr>
          <w:sz w:val="20"/>
          <w:szCs w:val="16"/>
        </w:rPr>
        <w:t xml:space="preserve"> </w:t>
      </w:r>
      <w:r w:rsidR="00BB2EB8" w:rsidRPr="00431DC1">
        <w:rPr>
          <w:sz w:val="20"/>
          <w:szCs w:val="16"/>
        </w:rPr>
        <w:t xml:space="preserve">Fanslow, J., Malihi, Z., Hashemi, L., et al. (2022). Prevalence of interpersonal violence against women and men in New Zealand: results of a cross-sectional study. </w:t>
      </w:r>
      <w:r w:rsidR="00BB2EB8" w:rsidRPr="00431DC1">
        <w:rPr>
          <w:i/>
          <w:iCs/>
          <w:sz w:val="20"/>
          <w:szCs w:val="16"/>
        </w:rPr>
        <w:t>Australian and New Zealand Journal of Public Health</w:t>
      </w:r>
      <w:r w:rsidR="00BB2EB8" w:rsidRPr="00431DC1">
        <w:rPr>
          <w:sz w:val="20"/>
          <w:szCs w:val="16"/>
        </w:rPr>
        <w:t>, 46(2).</w:t>
      </w:r>
    </w:p>
  </w:footnote>
  <w:footnote w:id="8">
    <w:p w14:paraId="285C25DA" w14:textId="62112058" w:rsidR="00F54F9D" w:rsidRPr="00431DC1" w:rsidRDefault="00F54F9D" w:rsidP="00907236">
      <w:pPr>
        <w:pStyle w:val="FootnoteText"/>
        <w:spacing w:before="0"/>
        <w:rPr>
          <w:sz w:val="20"/>
          <w:szCs w:val="16"/>
          <w:lang w:val="en-US"/>
        </w:rPr>
      </w:pPr>
      <w:r w:rsidRPr="00431DC1">
        <w:rPr>
          <w:rStyle w:val="FootnoteReference"/>
          <w:sz w:val="20"/>
          <w:szCs w:val="16"/>
        </w:rPr>
        <w:footnoteRef/>
      </w:r>
      <w:r w:rsidRPr="00431DC1">
        <w:rPr>
          <w:sz w:val="20"/>
          <w:szCs w:val="16"/>
        </w:rPr>
        <w:t xml:space="preserve"> </w:t>
      </w:r>
      <w:r w:rsidR="008648DA" w:rsidRPr="00431DC1">
        <w:rPr>
          <w:sz w:val="20"/>
          <w:szCs w:val="16"/>
        </w:rPr>
        <w:t xml:space="preserve">New Zealand Police. (2024). </w:t>
      </w:r>
      <w:r w:rsidR="008648DA" w:rsidRPr="00431DC1">
        <w:rPr>
          <w:i/>
          <w:iCs/>
          <w:sz w:val="20"/>
          <w:szCs w:val="16"/>
        </w:rPr>
        <w:t>NZ Police statistics on homicide victims in New Zealand 2007-2021: A summary of statistics about victims of murder, manslaughter, and infanticide</w:t>
      </w:r>
      <w:r w:rsidR="008648DA" w:rsidRPr="00431DC1">
        <w:rPr>
          <w:sz w:val="20"/>
          <w:szCs w:val="16"/>
        </w:rPr>
        <w:t>. Wellington: New Zealand Police.</w:t>
      </w:r>
    </w:p>
  </w:footnote>
  <w:footnote w:id="9">
    <w:p w14:paraId="385313DD" w14:textId="6AB66895" w:rsidR="00D5794E" w:rsidRPr="00431DC1" w:rsidRDefault="00D5794E" w:rsidP="00907236">
      <w:pPr>
        <w:pStyle w:val="FootnoteText"/>
        <w:spacing w:before="0"/>
        <w:rPr>
          <w:sz w:val="20"/>
          <w:szCs w:val="16"/>
          <w:lang w:val="en-US"/>
        </w:rPr>
      </w:pPr>
      <w:r w:rsidRPr="00431DC1">
        <w:rPr>
          <w:rStyle w:val="FootnoteReference"/>
          <w:sz w:val="20"/>
          <w:szCs w:val="16"/>
        </w:rPr>
        <w:footnoteRef/>
      </w:r>
      <w:r w:rsidRPr="00431DC1">
        <w:rPr>
          <w:sz w:val="20"/>
          <w:szCs w:val="16"/>
        </w:rPr>
        <w:t xml:space="preserve"> </w:t>
      </w:r>
      <w:r w:rsidR="006314B9" w:rsidRPr="00431DC1">
        <w:rPr>
          <w:sz w:val="20"/>
          <w:szCs w:val="16"/>
        </w:rPr>
        <w:t xml:space="preserve">Ministry of Justice. (2023). </w:t>
      </w:r>
      <w:r w:rsidR="006314B9" w:rsidRPr="00431DC1">
        <w:rPr>
          <w:i/>
          <w:iCs/>
          <w:sz w:val="20"/>
          <w:szCs w:val="16"/>
        </w:rPr>
        <w:t>New Zealand Crime and Victims Survey Cycle 3</w:t>
      </w:r>
      <w:r w:rsidR="006314B9" w:rsidRPr="00431DC1">
        <w:rPr>
          <w:sz w:val="20"/>
          <w:szCs w:val="16"/>
        </w:rPr>
        <w:t>. Ministry of Justice.</w:t>
      </w:r>
    </w:p>
  </w:footnote>
  <w:footnote w:id="10">
    <w:p w14:paraId="6854587F" w14:textId="3FE88348" w:rsidR="00091A26" w:rsidRPr="00431DC1" w:rsidRDefault="00091A26" w:rsidP="00907236">
      <w:pPr>
        <w:pStyle w:val="FootnoteText"/>
        <w:spacing w:before="0"/>
        <w:rPr>
          <w:sz w:val="20"/>
          <w:szCs w:val="16"/>
          <w:lang w:val="en-US"/>
        </w:rPr>
      </w:pPr>
      <w:r w:rsidRPr="00431DC1">
        <w:rPr>
          <w:rStyle w:val="FootnoteReference"/>
          <w:sz w:val="20"/>
          <w:szCs w:val="16"/>
        </w:rPr>
        <w:footnoteRef/>
      </w:r>
      <w:r w:rsidRPr="00431DC1">
        <w:rPr>
          <w:sz w:val="20"/>
          <w:szCs w:val="16"/>
        </w:rPr>
        <w:t xml:space="preserve"> </w:t>
      </w:r>
      <w:r w:rsidR="00596786" w:rsidRPr="00431DC1">
        <w:rPr>
          <w:sz w:val="20"/>
          <w:szCs w:val="16"/>
        </w:rPr>
        <w:t xml:space="preserve">Ministry of Social Development. (2021). </w:t>
      </w:r>
      <w:r w:rsidR="00596786" w:rsidRPr="00431DC1">
        <w:rPr>
          <w:i/>
          <w:iCs/>
          <w:sz w:val="20"/>
          <w:szCs w:val="16"/>
        </w:rPr>
        <w:t>What About Me? National Youth Health and Wellbeing Survey</w:t>
      </w:r>
      <w:r w:rsidR="00596786" w:rsidRPr="00431DC1">
        <w:rPr>
          <w:sz w:val="20"/>
          <w:szCs w:val="16"/>
        </w:rPr>
        <w:t>. Ministry of Social Development.</w:t>
      </w:r>
    </w:p>
  </w:footnote>
  <w:footnote w:id="11">
    <w:p w14:paraId="1F6CD3DF" w14:textId="3D967B18" w:rsidR="00091A26" w:rsidRPr="00431DC1" w:rsidRDefault="00091A26" w:rsidP="00907236">
      <w:pPr>
        <w:pStyle w:val="FootnoteText"/>
        <w:spacing w:before="0"/>
        <w:rPr>
          <w:sz w:val="20"/>
          <w:szCs w:val="16"/>
          <w:lang w:val="en-US"/>
        </w:rPr>
      </w:pPr>
      <w:r w:rsidRPr="00431DC1">
        <w:rPr>
          <w:rStyle w:val="FootnoteReference"/>
          <w:sz w:val="20"/>
          <w:szCs w:val="16"/>
        </w:rPr>
        <w:footnoteRef/>
      </w:r>
      <w:r w:rsidRPr="00431DC1">
        <w:rPr>
          <w:sz w:val="20"/>
          <w:szCs w:val="16"/>
        </w:rPr>
        <w:t xml:space="preserve"> </w:t>
      </w:r>
      <w:r w:rsidR="00F42FFE" w:rsidRPr="00431DC1">
        <w:rPr>
          <w:sz w:val="20"/>
          <w:szCs w:val="16"/>
        </w:rPr>
        <w:t xml:space="preserve">Ministry of Justice. (2023). </w:t>
      </w:r>
      <w:r w:rsidR="00F42FFE" w:rsidRPr="00431DC1">
        <w:rPr>
          <w:i/>
          <w:iCs/>
          <w:sz w:val="20"/>
          <w:szCs w:val="16"/>
        </w:rPr>
        <w:t>New Zealand Crime and Victims Survey, Cycle 6</w:t>
      </w:r>
      <w:r w:rsidR="00F42FFE" w:rsidRPr="00431DC1">
        <w:rPr>
          <w:sz w:val="20"/>
          <w:szCs w:val="16"/>
        </w:rPr>
        <w:t>. Ministry of Justice.</w:t>
      </w:r>
    </w:p>
  </w:footnote>
  <w:footnote w:id="12">
    <w:p w14:paraId="56BBE9D1" w14:textId="1A323506" w:rsidR="000F683A" w:rsidRPr="00431DC1" w:rsidRDefault="000F683A" w:rsidP="00907236">
      <w:pPr>
        <w:pStyle w:val="FootnoteText"/>
        <w:spacing w:before="0"/>
        <w:rPr>
          <w:sz w:val="20"/>
          <w:szCs w:val="16"/>
          <w:lang w:val="en-US"/>
        </w:rPr>
      </w:pPr>
      <w:r w:rsidRPr="00431DC1">
        <w:rPr>
          <w:rStyle w:val="FootnoteReference"/>
          <w:sz w:val="20"/>
          <w:szCs w:val="16"/>
        </w:rPr>
        <w:footnoteRef/>
      </w:r>
      <w:r w:rsidRPr="00431DC1">
        <w:rPr>
          <w:sz w:val="20"/>
          <w:szCs w:val="16"/>
        </w:rPr>
        <w:t xml:space="preserve"> </w:t>
      </w:r>
      <w:r w:rsidR="00C17FD3" w:rsidRPr="00431DC1">
        <w:rPr>
          <w:sz w:val="20"/>
          <w:szCs w:val="16"/>
        </w:rPr>
        <w:t xml:space="preserve">Family Violence Death Review Committee. (2014). </w:t>
      </w:r>
      <w:r w:rsidR="00C17FD3" w:rsidRPr="00431DC1">
        <w:rPr>
          <w:i/>
          <w:iCs/>
          <w:sz w:val="20"/>
          <w:szCs w:val="16"/>
        </w:rPr>
        <w:t xml:space="preserve">Fourth Annual Report. </w:t>
      </w:r>
      <w:r w:rsidR="00B968FF" w:rsidRPr="00431DC1">
        <w:rPr>
          <w:i/>
          <w:iCs/>
          <w:sz w:val="20"/>
          <w:szCs w:val="16"/>
        </w:rPr>
        <w:t>January</w:t>
      </w:r>
      <w:r w:rsidR="00C17FD3" w:rsidRPr="00431DC1">
        <w:rPr>
          <w:i/>
          <w:iCs/>
          <w:sz w:val="20"/>
          <w:szCs w:val="16"/>
        </w:rPr>
        <w:t xml:space="preserve"> 2013 to December 2013</w:t>
      </w:r>
      <w:r w:rsidR="00C17FD3" w:rsidRPr="00431DC1">
        <w:rPr>
          <w:sz w:val="20"/>
          <w:szCs w:val="16"/>
        </w:rPr>
        <w:t>. Wellington: Family Violence Death Review Committee.</w:t>
      </w:r>
    </w:p>
  </w:footnote>
  <w:footnote w:id="13">
    <w:p w14:paraId="5B58A596" w14:textId="302781B8" w:rsidR="000F683A" w:rsidRPr="00431DC1" w:rsidRDefault="000F683A" w:rsidP="00907236">
      <w:pPr>
        <w:pStyle w:val="FootnoteText"/>
        <w:spacing w:before="0"/>
        <w:rPr>
          <w:sz w:val="20"/>
          <w:szCs w:val="16"/>
          <w:lang w:val="en-US"/>
        </w:rPr>
      </w:pPr>
      <w:r w:rsidRPr="00431DC1">
        <w:rPr>
          <w:rStyle w:val="FootnoteReference"/>
          <w:sz w:val="20"/>
          <w:szCs w:val="16"/>
        </w:rPr>
        <w:footnoteRef/>
      </w:r>
      <w:r w:rsidRPr="00431DC1">
        <w:rPr>
          <w:sz w:val="20"/>
          <w:szCs w:val="16"/>
        </w:rPr>
        <w:t xml:space="preserve"> </w:t>
      </w:r>
      <w:r w:rsidR="004B2D39" w:rsidRPr="00431DC1">
        <w:rPr>
          <w:sz w:val="20"/>
          <w:szCs w:val="16"/>
        </w:rPr>
        <w:t xml:space="preserve">Ministry of Social Development. (2021). </w:t>
      </w:r>
      <w:r w:rsidR="004B2D39" w:rsidRPr="00431DC1">
        <w:rPr>
          <w:i/>
          <w:iCs/>
          <w:sz w:val="20"/>
          <w:szCs w:val="16"/>
        </w:rPr>
        <w:t>What about me? National Youth Health and Wellbeing Survey</w:t>
      </w:r>
      <w:r w:rsidR="004B2D39" w:rsidRPr="00431DC1">
        <w:rPr>
          <w:sz w:val="20"/>
          <w:szCs w:val="16"/>
        </w:rPr>
        <w:t>. Ministry of Social Development.</w:t>
      </w:r>
    </w:p>
  </w:footnote>
  <w:footnote w:id="14">
    <w:p w14:paraId="7B6E3046" w14:textId="151A5050" w:rsidR="000F683A" w:rsidRPr="00431DC1" w:rsidRDefault="000F683A" w:rsidP="00907236">
      <w:pPr>
        <w:pStyle w:val="FootnoteText"/>
        <w:spacing w:before="0"/>
        <w:rPr>
          <w:sz w:val="20"/>
          <w:szCs w:val="16"/>
          <w:lang w:val="en-US"/>
        </w:rPr>
      </w:pPr>
      <w:r w:rsidRPr="00431DC1">
        <w:rPr>
          <w:rStyle w:val="FootnoteReference"/>
          <w:sz w:val="20"/>
          <w:szCs w:val="16"/>
        </w:rPr>
        <w:footnoteRef/>
      </w:r>
      <w:r w:rsidRPr="00431DC1">
        <w:rPr>
          <w:sz w:val="20"/>
          <w:szCs w:val="16"/>
        </w:rPr>
        <w:t xml:space="preserve"> </w:t>
      </w:r>
      <w:r w:rsidR="00403471" w:rsidRPr="00431DC1">
        <w:rPr>
          <w:sz w:val="20"/>
          <w:szCs w:val="16"/>
        </w:rPr>
        <w:t xml:space="preserve">Ministry of Justice. (2023). </w:t>
      </w:r>
      <w:r w:rsidR="00403471" w:rsidRPr="00431DC1">
        <w:rPr>
          <w:i/>
          <w:iCs/>
          <w:sz w:val="20"/>
          <w:szCs w:val="16"/>
        </w:rPr>
        <w:t>New Zealand Crime and Victims Survey, Cycle 6</w:t>
      </w:r>
      <w:r w:rsidR="00403471" w:rsidRPr="00431DC1">
        <w:rPr>
          <w:sz w:val="20"/>
          <w:szCs w:val="16"/>
        </w:rPr>
        <w:t>. Ministry of Justice.</w:t>
      </w:r>
    </w:p>
  </w:footnote>
  <w:footnote w:id="15">
    <w:p w14:paraId="7CCC3584" w14:textId="60BE513E" w:rsidR="00711EDD" w:rsidRPr="00431DC1" w:rsidRDefault="00711EDD" w:rsidP="00907236">
      <w:pPr>
        <w:pStyle w:val="FootnoteText"/>
        <w:spacing w:before="0"/>
        <w:rPr>
          <w:sz w:val="20"/>
          <w:szCs w:val="16"/>
          <w:lang w:val="en-US"/>
        </w:rPr>
      </w:pPr>
      <w:r w:rsidRPr="00431DC1">
        <w:rPr>
          <w:rStyle w:val="FootnoteReference"/>
          <w:sz w:val="20"/>
          <w:szCs w:val="16"/>
        </w:rPr>
        <w:footnoteRef/>
      </w:r>
      <w:r w:rsidRPr="00431DC1">
        <w:rPr>
          <w:sz w:val="20"/>
          <w:szCs w:val="16"/>
        </w:rPr>
        <w:t xml:space="preserve"> </w:t>
      </w:r>
      <w:r w:rsidR="00466B7D" w:rsidRPr="00431DC1">
        <w:rPr>
          <w:sz w:val="20"/>
          <w:szCs w:val="16"/>
        </w:rPr>
        <w:t xml:space="preserve">Office for Seniors. (n.d.). Retrieved from </w:t>
      </w:r>
      <w:hyperlink r:id="rId4" w:history="1">
        <w:r w:rsidR="00466B7D" w:rsidRPr="00431DC1">
          <w:rPr>
            <w:rStyle w:val="Hyperlink"/>
            <w:color w:val="auto"/>
            <w:sz w:val="20"/>
            <w:szCs w:val="16"/>
          </w:rPr>
          <w:t>https://officeforseniors.govt.nz/our-work/raising-awareness-of-elder-abuse</w:t>
        </w:r>
      </w:hyperlink>
    </w:p>
  </w:footnote>
  <w:footnote w:id="16">
    <w:p w14:paraId="7E60984E" w14:textId="3F435DC5" w:rsidR="00792FD8" w:rsidRPr="00431DC1" w:rsidRDefault="00792FD8" w:rsidP="00907236">
      <w:pPr>
        <w:pStyle w:val="FootnoteText"/>
        <w:spacing w:before="0"/>
        <w:rPr>
          <w:sz w:val="20"/>
          <w:szCs w:val="16"/>
          <w:lang w:val="en-US"/>
        </w:rPr>
      </w:pPr>
      <w:r w:rsidRPr="00431DC1">
        <w:rPr>
          <w:rStyle w:val="FootnoteReference"/>
          <w:sz w:val="20"/>
          <w:szCs w:val="16"/>
        </w:rPr>
        <w:footnoteRef/>
      </w:r>
      <w:r w:rsidRPr="00431DC1">
        <w:rPr>
          <w:sz w:val="20"/>
          <w:szCs w:val="16"/>
        </w:rPr>
        <w:t xml:space="preserve"> </w:t>
      </w:r>
      <w:r w:rsidR="00F8629F" w:rsidRPr="00431DC1">
        <w:rPr>
          <w:sz w:val="20"/>
          <w:szCs w:val="16"/>
        </w:rPr>
        <w:t xml:space="preserve">Ministry of Justice. (2023). </w:t>
      </w:r>
      <w:r w:rsidR="00F8629F" w:rsidRPr="00431DC1">
        <w:rPr>
          <w:i/>
          <w:iCs/>
          <w:sz w:val="20"/>
          <w:szCs w:val="16"/>
        </w:rPr>
        <w:t>New Zealand Crime and Victims Survey, Cycle 6</w:t>
      </w:r>
      <w:r w:rsidR="00F8629F" w:rsidRPr="00431DC1">
        <w:rPr>
          <w:sz w:val="20"/>
          <w:szCs w:val="16"/>
        </w:rPr>
        <w:t>. Ministry of Justice.</w:t>
      </w:r>
    </w:p>
  </w:footnote>
  <w:footnote w:id="17">
    <w:p w14:paraId="6E6E47D6" w14:textId="3DB9AC3A" w:rsidR="00792FD8" w:rsidRPr="00431DC1" w:rsidRDefault="00792FD8" w:rsidP="00907236">
      <w:pPr>
        <w:pStyle w:val="FootnoteText"/>
        <w:spacing w:before="0"/>
        <w:rPr>
          <w:sz w:val="20"/>
          <w:szCs w:val="16"/>
          <w:lang w:val="en-US"/>
        </w:rPr>
      </w:pPr>
      <w:r w:rsidRPr="00431DC1">
        <w:rPr>
          <w:rStyle w:val="FootnoteReference"/>
          <w:sz w:val="20"/>
          <w:szCs w:val="16"/>
        </w:rPr>
        <w:footnoteRef/>
      </w:r>
      <w:r w:rsidR="007816F2" w:rsidRPr="00431DC1">
        <w:rPr>
          <w:sz w:val="20"/>
          <w:szCs w:val="16"/>
          <w:lang w:val="en-US"/>
        </w:rPr>
        <w:t xml:space="preserve"> </w:t>
      </w:r>
      <w:r w:rsidR="007816F2" w:rsidRPr="00431DC1">
        <w:rPr>
          <w:sz w:val="20"/>
          <w:szCs w:val="16"/>
        </w:rPr>
        <w:t xml:space="preserve">Ministry of Justice. (2023). </w:t>
      </w:r>
      <w:r w:rsidR="007816F2" w:rsidRPr="00431DC1">
        <w:rPr>
          <w:i/>
          <w:iCs/>
          <w:sz w:val="20"/>
          <w:szCs w:val="16"/>
        </w:rPr>
        <w:t>New Zealand Crime and Victims Survey, Cycle 6</w:t>
      </w:r>
      <w:r w:rsidR="007816F2" w:rsidRPr="00431DC1">
        <w:rPr>
          <w:sz w:val="20"/>
          <w:szCs w:val="16"/>
        </w:rPr>
        <w:t>. Ministry of Justice.</w:t>
      </w:r>
    </w:p>
  </w:footnote>
  <w:footnote w:id="18">
    <w:p w14:paraId="4CF8CB4C" w14:textId="77777777" w:rsidR="009932FD" w:rsidRPr="00431DC1" w:rsidRDefault="009932FD" w:rsidP="00907236">
      <w:pPr>
        <w:pStyle w:val="FootnoteText"/>
        <w:spacing w:before="0"/>
        <w:rPr>
          <w:sz w:val="20"/>
          <w:szCs w:val="16"/>
          <w:lang w:val="en-US"/>
        </w:rPr>
      </w:pPr>
      <w:r w:rsidRPr="00431DC1">
        <w:rPr>
          <w:rStyle w:val="FootnoteReference"/>
          <w:sz w:val="20"/>
          <w:szCs w:val="16"/>
        </w:rPr>
        <w:footnoteRef/>
      </w:r>
      <w:r w:rsidRPr="00431DC1">
        <w:rPr>
          <w:sz w:val="20"/>
          <w:szCs w:val="16"/>
        </w:rPr>
        <w:t xml:space="preserve"> </w:t>
      </w:r>
      <w:r w:rsidRPr="00431DC1">
        <w:rPr>
          <w:sz w:val="20"/>
          <w:szCs w:val="16"/>
          <w:lang w:val="en-US"/>
        </w:rPr>
        <w:t>From implementation</w:t>
      </w:r>
    </w:p>
  </w:footnote>
  <w:footnote w:id="19">
    <w:p w14:paraId="1C8330A7" w14:textId="64C29091" w:rsidR="00505CE5" w:rsidRPr="00431DC1" w:rsidRDefault="00505CE5" w:rsidP="00907236">
      <w:pPr>
        <w:pStyle w:val="FootnoteText"/>
        <w:spacing w:before="0"/>
        <w:rPr>
          <w:sz w:val="20"/>
          <w:szCs w:val="16"/>
          <w:lang w:val="en-US"/>
        </w:rPr>
      </w:pPr>
      <w:r w:rsidRPr="00431DC1">
        <w:rPr>
          <w:rStyle w:val="FootnoteReference"/>
          <w:sz w:val="20"/>
          <w:szCs w:val="16"/>
        </w:rPr>
        <w:footnoteRef/>
      </w:r>
      <w:r w:rsidRPr="00431DC1">
        <w:rPr>
          <w:sz w:val="20"/>
          <w:szCs w:val="16"/>
        </w:rPr>
        <w:t xml:space="preserve"> </w:t>
      </w:r>
      <w:r w:rsidRPr="00431DC1">
        <w:rPr>
          <w:sz w:val="20"/>
          <w:szCs w:val="16"/>
          <w:lang w:val="en-US"/>
        </w:rPr>
        <w:t>From implementation</w:t>
      </w:r>
    </w:p>
  </w:footnote>
  <w:footnote w:id="20">
    <w:p w14:paraId="568AFCD2" w14:textId="77777777" w:rsidR="00505CE5" w:rsidRPr="00431DC1" w:rsidRDefault="00505CE5" w:rsidP="00907236">
      <w:pPr>
        <w:pStyle w:val="FootnoteText"/>
        <w:spacing w:before="0"/>
        <w:rPr>
          <w:sz w:val="20"/>
          <w:szCs w:val="16"/>
          <w:lang w:val="en-US"/>
        </w:rPr>
      </w:pPr>
      <w:r w:rsidRPr="00431DC1">
        <w:rPr>
          <w:rStyle w:val="FootnoteReference"/>
          <w:sz w:val="20"/>
          <w:szCs w:val="16"/>
        </w:rPr>
        <w:footnoteRef/>
      </w:r>
      <w:r w:rsidRPr="00431DC1">
        <w:rPr>
          <w:sz w:val="20"/>
          <w:szCs w:val="16"/>
        </w:rPr>
        <w:t xml:space="preserve"> </w:t>
      </w:r>
      <w:r w:rsidRPr="00431DC1">
        <w:rPr>
          <w:sz w:val="20"/>
          <w:szCs w:val="16"/>
          <w:lang w:val="en-US"/>
        </w:rPr>
        <w:t>From implementation</w:t>
      </w:r>
    </w:p>
  </w:footnote>
  <w:footnote w:id="21">
    <w:p w14:paraId="5E2049E7" w14:textId="77777777" w:rsidR="00505CE5" w:rsidRPr="00431DC1" w:rsidRDefault="00505CE5" w:rsidP="00907236">
      <w:pPr>
        <w:pStyle w:val="FootnoteText"/>
        <w:spacing w:before="0"/>
        <w:rPr>
          <w:sz w:val="20"/>
          <w:szCs w:val="16"/>
          <w:lang w:val="en-US"/>
        </w:rPr>
      </w:pPr>
      <w:r w:rsidRPr="00431DC1">
        <w:rPr>
          <w:rStyle w:val="FootnoteReference"/>
          <w:sz w:val="20"/>
          <w:szCs w:val="16"/>
        </w:rPr>
        <w:footnoteRef/>
      </w:r>
      <w:r w:rsidRPr="00431DC1">
        <w:rPr>
          <w:sz w:val="20"/>
          <w:szCs w:val="16"/>
        </w:rPr>
        <w:t xml:space="preserve"> </w:t>
      </w:r>
      <w:r w:rsidRPr="00431DC1">
        <w:rPr>
          <w:sz w:val="20"/>
          <w:szCs w:val="16"/>
          <w:lang w:val="en-US"/>
        </w:rPr>
        <w:t>From implementation</w:t>
      </w:r>
    </w:p>
  </w:footnote>
  <w:footnote w:id="22">
    <w:p w14:paraId="3FBBD3B4" w14:textId="77777777" w:rsidR="00505CE5" w:rsidRPr="00431DC1" w:rsidRDefault="00505CE5" w:rsidP="00907236">
      <w:pPr>
        <w:pStyle w:val="FootnoteText"/>
        <w:spacing w:before="0"/>
        <w:rPr>
          <w:sz w:val="20"/>
          <w:szCs w:val="16"/>
          <w:lang w:val="en-US"/>
        </w:rPr>
      </w:pPr>
      <w:r w:rsidRPr="00431DC1">
        <w:rPr>
          <w:rStyle w:val="FootnoteReference"/>
          <w:sz w:val="20"/>
          <w:szCs w:val="16"/>
        </w:rPr>
        <w:footnoteRef/>
      </w:r>
      <w:r w:rsidRPr="00431DC1">
        <w:rPr>
          <w:sz w:val="20"/>
          <w:szCs w:val="16"/>
        </w:rPr>
        <w:t xml:space="preserve"> </w:t>
      </w:r>
      <w:r w:rsidRPr="00431DC1">
        <w:rPr>
          <w:sz w:val="20"/>
          <w:szCs w:val="16"/>
          <w:lang w:val="en-US"/>
        </w:rPr>
        <w:t>From implementation</w:t>
      </w:r>
    </w:p>
  </w:footnote>
  <w:footnote w:id="23">
    <w:p w14:paraId="4002D93E" w14:textId="77777777" w:rsidR="00505CE5" w:rsidRPr="00431DC1" w:rsidRDefault="00505CE5" w:rsidP="00907236">
      <w:pPr>
        <w:pStyle w:val="FootnoteText"/>
        <w:spacing w:before="0"/>
        <w:rPr>
          <w:sz w:val="20"/>
          <w:szCs w:val="16"/>
          <w:lang w:val="en-US"/>
        </w:rPr>
      </w:pPr>
      <w:r w:rsidRPr="00431DC1">
        <w:rPr>
          <w:rStyle w:val="FootnoteReference"/>
          <w:sz w:val="20"/>
          <w:szCs w:val="16"/>
        </w:rPr>
        <w:footnoteRef/>
      </w:r>
      <w:r w:rsidRPr="00431DC1">
        <w:rPr>
          <w:sz w:val="20"/>
          <w:szCs w:val="16"/>
        </w:rPr>
        <w:t xml:space="preserve"> </w:t>
      </w:r>
      <w:r w:rsidRPr="00431DC1">
        <w:rPr>
          <w:sz w:val="20"/>
          <w:szCs w:val="16"/>
          <w:lang w:val="en-US"/>
        </w:rPr>
        <w:t>From implementation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B3AF" w14:textId="77777777" w:rsidR="001E5643" w:rsidRDefault="001E5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8006" w14:textId="5604DE97" w:rsidR="00334B79" w:rsidRPr="00FE703F" w:rsidRDefault="006C5656" w:rsidP="00E05BEE">
    <w:pPr>
      <w:pStyle w:val="Header"/>
    </w:pPr>
    <w:r w:rsidRPr="00F25FBF">
      <w:rPr>
        <w:b/>
        <w:noProof/>
      </w:rPr>
      <w:drawing>
        <wp:anchor distT="0" distB="0" distL="114300" distR="114300" simplePos="0" relativeHeight="251658240" behindDoc="1" locked="0" layoutInCell="1" allowOverlap="1" wp14:anchorId="0AA1CC59" wp14:editId="0F6188D3">
          <wp:simplePos x="0" y="0"/>
          <wp:positionH relativeFrom="column">
            <wp:posOffset>3663950</wp:posOffset>
          </wp:positionH>
          <wp:positionV relativeFrom="paragraph">
            <wp:posOffset>-67310</wp:posOffset>
          </wp:positionV>
          <wp:extent cx="2694305" cy="578485"/>
          <wp:effectExtent l="0" t="0" r="0" b="0"/>
          <wp:wrapTight wrapText="bothSides">
            <wp:wrapPolygon edited="0">
              <wp:start x="0" y="0"/>
              <wp:lineTo x="0" y="20628"/>
              <wp:lineTo x="21381" y="20628"/>
              <wp:lineTo x="21381" y="0"/>
              <wp:lineTo x="0" y="0"/>
            </wp:wrapPolygon>
          </wp:wrapTight>
          <wp:docPr id="2107013940" name="Picture 1" descr="Te Puna Aonui logo with purple koru pattern to the left and a tagline underneath the name that says &quot;responding, healing, strengthen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013940" name="Picture 1" descr="Te Puna Aonui logo with purple koru pattern to the left and a tagline underneath the name that says &quot;responding, healing, strengthening&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00B338D1">
      <w:t>F</w:t>
    </w:r>
    <w:r w:rsidR="006D51FE" w:rsidRPr="00FE703F">
      <w:t xml:space="preserve">ull </w:t>
    </w:r>
    <w:r w:rsidR="00334B79" w:rsidRPr="00FE703F">
      <w:t>text</w:t>
    </w:r>
    <w:r w:rsidR="006D51FE" w:rsidRPr="00FE703F">
      <w:t xml:space="preserve"> o</w:t>
    </w:r>
    <w:r w:rsidR="00334B79" w:rsidRPr="00FE703F">
      <w:t xml:space="preserve">f </w:t>
    </w:r>
    <w:r w:rsidR="006D51FE" w:rsidRPr="00FE703F">
      <w:t>the second Action Plan</w:t>
    </w:r>
  </w:p>
  <w:p w14:paraId="7F44BCFD" w14:textId="37C7ED21" w:rsidR="006D51FE" w:rsidRPr="00FE703F" w:rsidRDefault="006D51FE" w:rsidP="00E05B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2584" w14:textId="77777777" w:rsidR="001E5643" w:rsidRDefault="001E5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D16"/>
    <w:multiLevelType w:val="hybridMultilevel"/>
    <w:tmpl w:val="E6749FE4"/>
    <w:lvl w:ilvl="0" w:tplc="7DA83CB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B715FC"/>
    <w:multiLevelType w:val="multilevel"/>
    <w:tmpl w:val="581E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572ED"/>
    <w:multiLevelType w:val="hybridMultilevel"/>
    <w:tmpl w:val="9E7A5748"/>
    <w:lvl w:ilvl="0" w:tplc="47422320">
      <w:start w:val="3"/>
      <w:numFmt w:val="decimal"/>
      <w:lvlText w:val="%1."/>
      <w:lvlJc w:val="left"/>
      <w:pPr>
        <w:ind w:left="270" w:hanging="271"/>
      </w:pPr>
      <w:rPr>
        <w:rFonts w:ascii="Calibri" w:eastAsia="Calibri" w:hAnsi="Calibri" w:cs="Calibri" w:hint="default"/>
        <w:b/>
        <w:bCs/>
        <w:i w:val="0"/>
        <w:iCs w:val="0"/>
        <w:color w:val="727272"/>
        <w:spacing w:val="0"/>
        <w:w w:val="105"/>
        <w:sz w:val="22"/>
        <w:szCs w:val="22"/>
        <w:lang w:val="en-US" w:eastAsia="en-US" w:bidi="ar-SA"/>
      </w:rPr>
    </w:lvl>
    <w:lvl w:ilvl="1" w:tplc="FFF648A6">
      <w:numFmt w:val="bullet"/>
      <w:lvlText w:val="•"/>
      <w:lvlJc w:val="left"/>
      <w:pPr>
        <w:ind w:left="627" w:hanging="271"/>
      </w:pPr>
      <w:rPr>
        <w:rFonts w:hint="default"/>
        <w:lang w:val="en-US" w:eastAsia="en-US" w:bidi="ar-SA"/>
      </w:rPr>
    </w:lvl>
    <w:lvl w:ilvl="2" w:tplc="90CEBE02">
      <w:numFmt w:val="bullet"/>
      <w:lvlText w:val="•"/>
      <w:lvlJc w:val="left"/>
      <w:pPr>
        <w:ind w:left="975" w:hanging="271"/>
      </w:pPr>
      <w:rPr>
        <w:rFonts w:hint="default"/>
        <w:lang w:val="en-US" w:eastAsia="en-US" w:bidi="ar-SA"/>
      </w:rPr>
    </w:lvl>
    <w:lvl w:ilvl="3" w:tplc="FEB29CE4">
      <w:numFmt w:val="bullet"/>
      <w:lvlText w:val="•"/>
      <w:lvlJc w:val="left"/>
      <w:pPr>
        <w:ind w:left="1323" w:hanging="271"/>
      </w:pPr>
      <w:rPr>
        <w:rFonts w:hint="default"/>
        <w:lang w:val="en-US" w:eastAsia="en-US" w:bidi="ar-SA"/>
      </w:rPr>
    </w:lvl>
    <w:lvl w:ilvl="4" w:tplc="3F8079EA">
      <w:numFmt w:val="bullet"/>
      <w:lvlText w:val="•"/>
      <w:lvlJc w:val="left"/>
      <w:pPr>
        <w:ind w:left="1671" w:hanging="271"/>
      </w:pPr>
      <w:rPr>
        <w:rFonts w:hint="default"/>
        <w:lang w:val="en-US" w:eastAsia="en-US" w:bidi="ar-SA"/>
      </w:rPr>
    </w:lvl>
    <w:lvl w:ilvl="5" w:tplc="6B287508">
      <w:numFmt w:val="bullet"/>
      <w:lvlText w:val="•"/>
      <w:lvlJc w:val="left"/>
      <w:pPr>
        <w:ind w:left="2018" w:hanging="271"/>
      </w:pPr>
      <w:rPr>
        <w:rFonts w:hint="default"/>
        <w:lang w:val="en-US" w:eastAsia="en-US" w:bidi="ar-SA"/>
      </w:rPr>
    </w:lvl>
    <w:lvl w:ilvl="6" w:tplc="21DC3E08">
      <w:numFmt w:val="bullet"/>
      <w:lvlText w:val="•"/>
      <w:lvlJc w:val="left"/>
      <w:pPr>
        <w:ind w:left="2366" w:hanging="271"/>
      </w:pPr>
      <w:rPr>
        <w:rFonts w:hint="default"/>
        <w:lang w:val="en-US" w:eastAsia="en-US" w:bidi="ar-SA"/>
      </w:rPr>
    </w:lvl>
    <w:lvl w:ilvl="7" w:tplc="3F261E68">
      <w:numFmt w:val="bullet"/>
      <w:lvlText w:val="•"/>
      <w:lvlJc w:val="left"/>
      <w:pPr>
        <w:ind w:left="2714" w:hanging="271"/>
      </w:pPr>
      <w:rPr>
        <w:rFonts w:hint="default"/>
        <w:lang w:val="en-US" w:eastAsia="en-US" w:bidi="ar-SA"/>
      </w:rPr>
    </w:lvl>
    <w:lvl w:ilvl="8" w:tplc="C31A4BBA">
      <w:numFmt w:val="bullet"/>
      <w:lvlText w:val="•"/>
      <w:lvlJc w:val="left"/>
      <w:pPr>
        <w:ind w:left="3062" w:hanging="271"/>
      </w:pPr>
      <w:rPr>
        <w:rFonts w:hint="default"/>
        <w:lang w:val="en-US" w:eastAsia="en-US" w:bidi="ar-SA"/>
      </w:rPr>
    </w:lvl>
  </w:abstractNum>
  <w:abstractNum w:abstractNumId="3" w15:restartNumberingAfterBreak="0">
    <w:nsid w:val="0E451728"/>
    <w:multiLevelType w:val="hybridMultilevel"/>
    <w:tmpl w:val="39224E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C014AE"/>
    <w:multiLevelType w:val="multilevel"/>
    <w:tmpl w:val="1AF6D4E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12127087"/>
    <w:multiLevelType w:val="hybridMultilevel"/>
    <w:tmpl w:val="A0BA8130"/>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9A1534"/>
    <w:multiLevelType w:val="hybridMultilevel"/>
    <w:tmpl w:val="51A819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8C03E46"/>
    <w:multiLevelType w:val="hybridMultilevel"/>
    <w:tmpl w:val="0D46B4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1161268"/>
    <w:multiLevelType w:val="hybridMultilevel"/>
    <w:tmpl w:val="C898EB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135351"/>
    <w:multiLevelType w:val="hybridMultilevel"/>
    <w:tmpl w:val="143A67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9EF65DD"/>
    <w:multiLevelType w:val="hybridMultilevel"/>
    <w:tmpl w:val="27EE2534"/>
    <w:lvl w:ilvl="0" w:tplc="C3DEB5D0">
      <w:start w:val="1"/>
      <w:numFmt w:val="decimal"/>
      <w:lvlText w:val="%1."/>
      <w:lvlJc w:val="left"/>
      <w:pPr>
        <w:ind w:left="269" w:hanging="271"/>
      </w:pPr>
      <w:rPr>
        <w:rFonts w:ascii="Calibri" w:eastAsia="Calibri" w:hAnsi="Calibri" w:cs="Calibri" w:hint="default"/>
        <w:b/>
        <w:bCs/>
        <w:i w:val="0"/>
        <w:iCs w:val="0"/>
        <w:color w:val="auto"/>
        <w:spacing w:val="0"/>
        <w:w w:val="105"/>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F8D7311"/>
    <w:multiLevelType w:val="hybridMultilevel"/>
    <w:tmpl w:val="5A3E6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2DA0B9D"/>
    <w:multiLevelType w:val="hybridMultilevel"/>
    <w:tmpl w:val="313E85E4"/>
    <w:lvl w:ilvl="0" w:tplc="1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34E717E"/>
    <w:multiLevelType w:val="hybridMultilevel"/>
    <w:tmpl w:val="5F7C6F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4C22EDB"/>
    <w:multiLevelType w:val="hybridMultilevel"/>
    <w:tmpl w:val="27EE2534"/>
    <w:lvl w:ilvl="0" w:tplc="FFFFFFFF">
      <w:start w:val="1"/>
      <w:numFmt w:val="decimal"/>
      <w:lvlText w:val="%1."/>
      <w:lvlJc w:val="left"/>
      <w:pPr>
        <w:ind w:left="269" w:hanging="271"/>
      </w:pPr>
      <w:rPr>
        <w:rFonts w:ascii="Calibri" w:eastAsia="Calibri" w:hAnsi="Calibri" w:cs="Calibri" w:hint="default"/>
        <w:b/>
        <w:bCs/>
        <w:i w:val="0"/>
        <w:iCs w:val="0"/>
        <w:color w:val="auto"/>
        <w:spacing w:val="0"/>
        <w:w w:val="105"/>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062650"/>
    <w:multiLevelType w:val="hybridMultilevel"/>
    <w:tmpl w:val="FC12CB6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C1B7F49"/>
    <w:multiLevelType w:val="hybridMultilevel"/>
    <w:tmpl w:val="D848E546"/>
    <w:lvl w:ilvl="0" w:tplc="47422320">
      <w:start w:val="3"/>
      <w:numFmt w:val="decimal"/>
      <w:lvlText w:val="%1."/>
      <w:lvlJc w:val="left"/>
      <w:pPr>
        <w:ind w:left="270" w:hanging="271"/>
      </w:pPr>
      <w:rPr>
        <w:rFonts w:ascii="Calibri" w:eastAsia="Calibri" w:hAnsi="Calibri" w:cs="Calibri" w:hint="default"/>
        <w:b/>
        <w:bCs/>
        <w:i w:val="0"/>
        <w:iCs w:val="0"/>
        <w:color w:val="727272"/>
        <w:spacing w:val="0"/>
        <w:w w:val="105"/>
        <w:sz w:val="22"/>
        <w:szCs w:val="22"/>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DAB58D3"/>
    <w:multiLevelType w:val="hybridMultilevel"/>
    <w:tmpl w:val="0D46B4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5A1E6C"/>
    <w:multiLevelType w:val="hybridMultilevel"/>
    <w:tmpl w:val="2B583F4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E8B429C"/>
    <w:multiLevelType w:val="hybridMultilevel"/>
    <w:tmpl w:val="AB7E8412"/>
    <w:lvl w:ilvl="0" w:tplc="D6DA18A4">
      <w:start w:val="1"/>
      <w:numFmt w:val="decimal"/>
      <w:pStyle w:val="ListParagraph"/>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60945043"/>
    <w:multiLevelType w:val="hybridMultilevel"/>
    <w:tmpl w:val="AD6EFF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DB629B7"/>
    <w:multiLevelType w:val="hybridMultilevel"/>
    <w:tmpl w:val="80A019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2517A6"/>
    <w:multiLevelType w:val="hybridMultilevel"/>
    <w:tmpl w:val="4E92CD5E"/>
    <w:lvl w:ilvl="0" w:tplc="1409000F">
      <w:start w:val="1"/>
      <w:numFmt w:val="decimal"/>
      <w:lvlText w:val="%1."/>
      <w:lvlJc w:val="left"/>
      <w:pPr>
        <w:ind w:left="720" w:hanging="360"/>
      </w:pPr>
    </w:lvl>
    <w:lvl w:ilvl="1" w:tplc="14090001">
      <w:start w:val="1"/>
      <w:numFmt w:val="bullet"/>
      <w:lvlText w:val=""/>
      <w:lvlJc w:val="left"/>
      <w:pPr>
        <w:ind w:left="720" w:hanging="360"/>
      </w:pPr>
      <w:rPr>
        <w:rFonts w:ascii="Symbol" w:hAnsi="Symbol" w:hint="default"/>
      </w:rPr>
    </w:lvl>
    <w:lvl w:ilvl="2" w:tplc="14090001">
      <w:start w:val="1"/>
      <w:numFmt w:val="bullet"/>
      <w:lvlText w:val=""/>
      <w:lvlJc w:val="left"/>
      <w:pPr>
        <w:ind w:left="720" w:hanging="360"/>
      </w:pPr>
      <w:rPr>
        <w:rFonts w:ascii="Symbol" w:hAnsi="Symbol"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E8A3D74"/>
    <w:multiLevelType w:val="hybridMultilevel"/>
    <w:tmpl w:val="56A69CCC"/>
    <w:lvl w:ilvl="0" w:tplc="CE10EF3E">
      <w:start w:val="1"/>
      <w:numFmt w:val="decimal"/>
      <w:lvlText w:val="%1."/>
      <w:lvlJc w:val="left"/>
      <w:pPr>
        <w:ind w:left="269" w:hanging="271"/>
      </w:pPr>
      <w:rPr>
        <w:rFonts w:ascii="Calibri" w:eastAsia="Calibri" w:hAnsi="Calibri" w:cs="Calibri" w:hint="default"/>
        <w:b/>
        <w:bCs/>
        <w:i w:val="0"/>
        <w:iCs w:val="0"/>
        <w:color w:val="727272"/>
        <w:spacing w:val="0"/>
        <w:w w:val="105"/>
        <w:sz w:val="22"/>
        <w:szCs w:val="22"/>
        <w:lang w:val="en-US" w:eastAsia="en-US" w:bidi="ar-SA"/>
      </w:rPr>
    </w:lvl>
    <w:lvl w:ilvl="1" w:tplc="14090019" w:tentative="1">
      <w:start w:val="1"/>
      <w:numFmt w:val="lowerLetter"/>
      <w:lvlText w:val="%2."/>
      <w:lvlJc w:val="left"/>
      <w:pPr>
        <w:ind w:left="1439" w:hanging="360"/>
      </w:pPr>
    </w:lvl>
    <w:lvl w:ilvl="2" w:tplc="1409001B" w:tentative="1">
      <w:start w:val="1"/>
      <w:numFmt w:val="lowerRoman"/>
      <w:lvlText w:val="%3."/>
      <w:lvlJc w:val="right"/>
      <w:pPr>
        <w:ind w:left="2159" w:hanging="180"/>
      </w:pPr>
    </w:lvl>
    <w:lvl w:ilvl="3" w:tplc="1409000F" w:tentative="1">
      <w:start w:val="1"/>
      <w:numFmt w:val="decimal"/>
      <w:lvlText w:val="%4."/>
      <w:lvlJc w:val="left"/>
      <w:pPr>
        <w:ind w:left="2879" w:hanging="360"/>
      </w:pPr>
    </w:lvl>
    <w:lvl w:ilvl="4" w:tplc="14090019" w:tentative="1">
      <w:start w:val="1"/>
      <w:numFmt w:val="lowerLetter"/>
      <w:lvlText w:val="%5."/>
      <w:lvlJc w:val="left"/>
      <w:pPr>
        <w:ind w:left="3599" w:hanging="360"/>
      </w:pPr>
    </w:lvl>
    <w:lvl w:ilvl="5" w:tplc="1409001B" w:tentative="1">
      <w:start w:val="1"/>
      <w:numFmt w:val="lowerRoman"/>
      <w:lvlText w:val="%6."/>
      <w:lvlJc w:val="right"/>
      <w:pPr>
        <w:ind w:left="4319" w:hanging="180"/>
      </w:pPr>
    </w:lvl>
    <w:lvl w:ilvl="6" w:tplc="1409000F" w:tentative="1">
      <w:start w:val="1"/>
      <w:numFmt w:val="decimal"/>
      <w:lvlText w:val="%7."/>
      <w:lvlJc w:val="left"/>
      <w:pPr>
        <w:ind w:left="5039" w:hanging="360"/>
      </w:pPr>
    </w:lvl>
    <w:lvl w:ilvl="7" w:tplc="14090019" w:tentative="1">
      <w:start w:val="1"/>
      <w:numFmt w:val="lowerLetter"/>
      <w:lvlText w:val="%8."/>
      <w:lvlJc w:val="left"/>
      <w:pPr>
        <w:ind w:left="5759" w:hanging="360"/>
      </w:pPr>
    </w:lvl>
    <w:lvl w:ilvl="8" w:tplc="1409001B" w:tentative="1">
      <w:start w:val="1"/>
      <w:numFmt w:val="lowerRoman"/>
      <w:lvlText w:val="%9."/>
      <w:lvlJc w:val="right"/>
      <w:pPr>
        <w:ind w:left="6479" w:hanging="180"/>
      </w:pPr>
    </w:lvl>
  </w:abstractNum>
  <w:num w:numId="1" w16cid:durableId="289557392">
    <w:abstractNumId w:val="18"/>
  </w:num>
  <w:num w:numId="2" w16cid:durableId="1269238058">
    <w:abstractNumId w:val="2"/>
  </w:num>
  <w:num w:numId="3" w16cid:durableId="1950814071">
    <w:abstractNumId w:val="1"/>
  </w:num>
  <w:num w:numId="4" w16cid:durableId="2108306816">
    <w:abstractNumId w:val="11"/>
  </w:num>
  <w:num w:numId="5" w16cid:durableId="2081520833">
    <w:abstractNumId w:val="15"/>
  </w:num>
  <w:num w:numId="6" w16cid:durableId="608321404">
    <w:abstractNumId w:val="0"/>
  </w:num>
  <w:num w:numId="7" w16cid:durableId="1923251980">
    <w:abstractNumId w:val="16"/>
  </w:num>
  <w:num w:numId="8" w16cid:durableId="355008521">
    <w:abstractNumId w:val="23"/>
  </w:num>
  <w:num w:numId="9" w16cid:durableId="643122277">
    <w:abstractNumId w:val="10"/>
  </w:num>
  <w:num w:numId="10" w16cid:durableId="1309286670">
    <w:abstractNumId w:val="14"/>
  </w:num>
  <w:num w:numId="11" w16cid:durableId="864245754">
    <w:abstractNumId w:val="5"/>
  </w:num>
  <w:num w:numId="12" w16cid:durableId="7950672">
    <w:abstractNumId w:val="13"/>
  </w:num>
  <w:num w:numId="13" w16cid:durableId="1708869142">
    <w:abstractNumId w:val="22"/>
  </w:num>
  <w:num w:numId="14" w16cid:durableId="1775904840">
    <w:abstractNumId w:val="7"/>
  </w:num>
  <w:num w:numId="15" w16cid:durableId="1425878816">
    <w:abstractNumId w:val="6"/>
  </w:num>
  <w:num w:numId="16" w16cid:durableId="507015522">
    <w:abstractNumId w:val="21"/>
  </w:num>
  <w:num w:numId="17" w16cid:durableId="760295904">
    <w:abstractNumId w:val="9"/>
  </w:num>
  <w:num w:numId="18" w16cid:durableId="1569028304">
    <w:abstractNumId w:val="17"/>
  </w:num>
  <w:num w:numId="19" w16cid:durableId="500245194">
    <w:abstractNumId w:val="20"/>
  </w:num>
  <w:num w:numId="20" w16cid:durableId="623124485">
    <w:abstractNumId w:val="3"/>
  </w:num>
  <w:num w:numId="21" w16cid:durableId="1358659457">
    <w:abstractNumId w:val="19"/>
  </w:num>
  <w:num w:numId="22" w16cid:durableId="13698881">
    <w:abstractNumId w:val="19"/>
    <w:lvlOverride w:ilvl="0">
      <w:startOverride w:val="1"/>
    </w:lvlOverride>
  </w:num>
  <w:num w:numId="23" w16cid:durableId="979001230">
    <w:abstractNumId w:val="12"/>
  </w:num>
  <w:num w:numId="24" w16cid:durableId="1546327261">
    <w:abstractNumId w:val="19"/>
    <w:lvlOverride w:ilvl="0">
      <w:startOverride w:val="1"/>
    </w:lvlOverride>
  </w:num>
  <w:num w:numId="25" w16cid:durableId="541942718">
    <w:abstractNumId w:val="19"/>
  </w:num>
  <w:num w:numId="26" w16cid:durableId="1391146578">
    <w:abstractNumId w:val="19"/>
    <w:lvlOverride w:ilvl="0">
      <w:startOverride w:val="2"/>
    </w:lvlOverride>
  </w:num>
  <w:num w:numId="27" w16cid:durableId="564025457">
    <w:abstractNumId w:val="19"/>
    <w:lvlOverride w:ilvl="0">
      <w:startOverride w:val="6"/>
    </w:lvlOverride>
  </w:num>
  <w:num w:numId="28" w16cid:durableId="918055887">
    <w:abstractNumId w:val="8"/>
  </w:num>
  <w:num w:numId="29" w16cid:durableId="849368301">
    <w:abstractNumId w:val="19"/>
  </w:num>
  <w:num w:numId="30" w16cid:durableId="1144354644">
    <w:abstractNumId w:val="19"/>
  </w:num>
  <w:num w:numId="31" w16cid:durableId="447358717">
    <w:abstractNumId w:val="19"/>
  </w:num>
  <w:num w:numId="32" w16cid:durableId="1303316129">
    <w:abstractNumId w:val="19"/>
  </w:num>
  <w:num w:numId="33" w16cid:durableId="715204706">
    <w:abstractNumId w:val="19"/>
  </w:num>
  <w:num w:numId="34" w16cid:durableId="1054234719">
    <w:abstractNumId w:val="19"/>
    <w:lvlOverride w:ilvl="0">
      <w:startOverride w:val="1"/>
    </w:lvlOverride>
  </w:num>
  <w:num w:numId="35" w16cid:durableId="843786214">
    <w:abstractNumId w:val="19"/>
  </w:num>
  <w:num w:numId="36" w16cid:durableId="771777565">
    <w:abstractNumId w:val="19"/>
  </w:num>
  <w:num w:numId="37" w16cid:durableId="1808862221">
    <w:abstractNumId w:val="19"/>
  </w:num>
  <w:num w:numId="38" w16cid:durableId="861557035">
    <w:abstractNumId w:val="19"/>
  </w:num>
  <w:num w:numId="39" w16cid:durableId="1659840525">
    <w:abstractNumId w:val="19"/>
  </w:num>
  <w:num w:numId="40" w16cid:durableId="743265057">
    <w:abstractNumId w:val="19"/>
  </w:num>
  <w:num w:numId="41" w16cid:durableId="114102120">
    <w:abstractNumId w:val="19"/>
  </w:num>
  <w:num w:numId="42" w16cid:durableId="1557085143">
    <w:abstractNumId w:val="19"/>
  </w:num>
  <w:num w:numId="43" w16cid:durableId="527647803">
    <w:abstractNumId w:val="19"/>
  </w:num>
  <w:num w:numId="44" w16cid:durableId="1241259613">
    <w:abstractNumId w:val="19"/>
  </w:num>
  <w:num w:numId="45" w16cid:durableId="1807620130">
    <w:abstractNumId w:val="19"/>
  </w:num>
  <w:num w:numId="46" w16cid:durableId="8960184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3233553">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2C"/>
    <w:rsid w:val="00002378"/>
    <w:rsid w:val="00006882"/>
    <w:rsid w:val="0000730E"/>
    <w:rsid w:val="00031CDD"/>
    <w:rsid w:val="0003559D"/>
    <w:rsid w:val="000401E8"/>
    <w:rsid w:val="00042AE5"/>
    <w:rsid w:val="00043093"/>
    <w:rsid w:val="00046945"/>
    <w:rsid w:val="00046E08"/>
    <w:rsid w:val="000470E6"/>
    <w:rsid w:val="0004782B"/>
    <w:rsid w:val="00052499"/>
    <w:rsid w:val="00053184"/>
    <w:rsid w:val="00055100"/>
    <w:rsid w:val="000561FB"/>
    <w:rsid w:val="000614F7"/>
    <w:rsid w:val="0006260D"/>
    <w:rsid w:val="00064E57"/>
    <w:rsid w:val="00071922"/>
    <w:rsid w:val="00072550"/>
    <w:rsid w:val="0007481C"/>
    <w:rsid w:val="000808B2"/>
    <w:rsid w:val="00082290"/>
    <w:rsid w:val="00084E98"/>
    <w:rsid w:val="000914AF"/>
    <w:rsid w:val="0009153B"/>
    <w:rsid w:val="00091A26"/>
    <w:rsid w:val="00091ADE"/>
    <w:rsid w:val="0009321F"/>
    <w:rsid w:val="0009338D"/>
    <w:rsid w:val="000A1914"/>
    <w:rsid w:val="000A7824"/>
    <w:rsid w:val="000B5367"/>
    <w:rsid w:val="000B64B5"/>
    <w:rsid w:val="000B778D"/>
    <w:rsid w:val="000C44AD"/>
    <w:rsid w:val="000D01F5"/>
    <w:rsid w:val="000D7C5A"/>
    <w:rsid w:val="000E0509"/>
    <w:rsid w:val="000E2E59"/>
    <w:rsid w:val="000E4361"/>
    <w:rsid w:val="000E4DD8"/>
    <w:rsid w:val="000F0A24"/>
    <w:rsid w:val="000F2034"/>
    <w:rsid w:val="000F2FA1"/>
    <w:rsid w:val="000F683A"/>
    <w:rsid w:val="0010027B"/>
    <w:rsid w:val="001019D0"/>
    <w:rsid w:val="001047CC"/>
    <w:rsid w:val="00105B72"/>
    <w:rsid w:val="00106EE6"/>
    <w:rsid w:val="001162EA"/>
    <w:rsid w:val="00122B8D"/>
    <w:rsid w:val="00125EF6"/>
    <w:rsid w:val="00126D1F"/>
    <w:rsid w:val="00130714"/>
    <w:rsid w:val="001335B4"/>
    <w:rsid w:val="00134CEB"/>
    <w:rsid w:val="0013572C"/>
    <w:rsid w:val="00140FFE"/>
    <w:rsid w:val="0014259F"/>
    <w:rsid w:val="00155F87"/>
    <w:rsid w:val="00157CC8"/>
    <w:rsid w:val="001603FD"/>
    <w:rsid w:val="0017051E"/>
    <w:rsid w:val="00170523"/>
    <w:rsid w:val="00170C84"/>
    <w:rsid w:val="00175551"/>
    <w:rsid w:val="001813DD"/>
    <w:rsid w:val="00185B70"/>
    <w:rsid w:val="001871A4"/>
    <w:rsid w:val="0019329D"/>
    <w:rsid w:val="001934C5"/>
    <w:rsid w:val="0019515E"/>
    <w:rsid w:val="001A216A"/>
    <w:rsid w:val="001A2EA1"/>
    <w:rsid w:val="001A4824"/>
    <w:rsid w:val="001B0060"/>
    <w:rsid w:val="001B543C"/>
    <w:rsid w:val="001B5B0A"/>
    <w:rsid w:val="001B6FE7"/>
    <w:rsid w:val="001B7DD9"/>
    <w:rsid w:val="001C00A5"/>
    <w:rsid w:val="001C2094"/>
    <w:rsid w:val="001C60A1"/>
    <w:rsid w:val="001C6E54"/>
    <w:rsid w:val="001C7022"/>
    <w:rsid w:val="001D4144"/>
    <w:rsid w:val="001D4B84"/>
    <w:rsid w:val="001D4F61"/>
    <w:rsid w:val="001D622D"/>
    <w:rsid w:val="001E14E2"/>
    <w:rsid w:val="001E2452"/>
    <w:rsid w:val="001E26BC"/>
    <w:rsid w:val="001E3342"/>
    <w:rsid w:val="001E405D"/>
    <w:rsid w:val="001E5643"/>
    <w:rsid w:val="001E61C1"/>
    <w:rsid w:val="001F0A5E"/>
    <w:rsid w:val="001F3899"/>
    <w:rsid w:val="001F60C1"/>
    <w:rsid w:val="00203127"/>
    <w:rsid w:val="00204152"/>
    <w:rsid w:val="00207520"/>
    <w:rsid w:val="00207E31"/>
    <w:rsid w:val="00213893"/>
    <w:rsid w:val="00217FC2"/>
    <w:rsid w:val="00220264"/>
    <w:rsid w:val="002213CE"/>
    <w:rsid w:val="00223F98"/>
    <w:rsid w:val="00224F3A"/>
    <w:rsid w:val="002265D7"/>
    <w:rsid w:val="00230506"/>
    <w:rsid w:val="00230B62"/>
    <w:rsid w:val="00232193"/>
    <w:rsid w:val="00234B19"/>
    <w:rsid w:val="00235D61"/>
    <w:rsid w:val="002401DD"/>
    <w:rsid w:val="002403A5"/>
    <w:rsid w:val="00240A2F"/>
    <w:rsid w:val="002416AB"/>
    <w:rsid w:val="00245F0F"/>
    <w:rsid w:val="00247294"/>
    <w:rsid w:val="00252B3E"/>
    <w:rsid w:val="002619B7"/>
    <w:rsid w:val="002629C4"/>
    <w:rsid w:val="00264EA4"/>
    <w:rsid w:val="00267B43"/>
    <w:rsid w:val="00267BC6"/>
    <w:rsid w:val="00277954"/>
    <w:rsid w:val="00277BA3"/>
    <w:rsid w:val="00283496"/>
    <w:rsid w:val="00284D34"/>
    <w:rsid w:val="00285ACA"/>
    <w:rsid w:val="002910AA"/>
    <w:rsid w:val="00291F49"/>
    <w:rsid w:val="00293EA0"/>
    <w:rsid w:val="00296897"/>
    <w:rsid w:val="002A2FF2"/>
    <w:rsid w:val="002C2A1F"/>
    <w:rsid w:val="002C60C7"/>
    <w:rsid w:val="002D1839"/>
    <w:rsid w:val="002D1EE1"/>
    <w:rsid w:val="002D6928"/>
    <w:rsid w:val="002E1F81"/>
    <w:rsid w:val="002E2354"/>
    <w:rsid w:val="002F08D5"/>
    <w:rsid w:val="002F33C6"/>
    <w:rsid w:val="002F34A2"/>
    <w:rsid w:val="002F409E"/>
    <w:rsid w:val="002F4D13"/>
    <w:rsid w:val="002F63F1"/>
    <w:rsid w:val="003024A6"/>
    <w:rsid w:val="00306A80"/>
    <w:rsid w:val="00312224"/>
    <w:rsid w:val="00321F89"/>
    <w:rsid w:val="0032259D"/>
    <w:rsid w:val="00323153"/>
    <w:rsid w:val="00323378"/>
    <w:rsid w:val="0032671C"/>
    <w:rsid w:val="00327A7A"/>
    <w:rsid w:val="00330EAB"/>
    <w:rsid w:val="00331544"/>
    <w:rsid w:val="00334B79"/>
    <w:rsid w:val="003362F1"/>
    <w:rsid w:val="003372AC"/>
    <w:rsid w:val="0034150C"/>
    <w:rsid w:val="003539C3"/>
    <w:rsid w:val="00354D69"/>
    <w:rsid w:val="00355CFE"/>
    <w:rsid w:val="00361ABC"/>
    <w:rsid w:val="00362871"/>
    <w:rsid w:val="00362A9F"/>
    <w:rsid w:val="003634AC"/>
    <w:rsid w:val="00363E8C"/>
    <w:rsid w:val="00372B59"/>
    <w:rsid w:val="00390582"/>
    <w:rsid w:val="00390ED4"/>
    <w:rsid w:val="003A26AC"/>
    <w:rsid w:val="003A2EB4"/>
    <w:rsid w:val="003A66DA"/>
    <w:rsid w:val="003B05DF"/>
    <w:rsid w:val="003B1873"/>
    <w:rsid w:val="003B1C54"/>
    <w:rsid w:val="003C11E1"/>
    <w:rsid w:val="003C4C60"/>
    <w:rsid w:val="003C7DD7"/>
    <w:rsid w:val="003D1BF8"/>
    <w:rsid w:val="003D1E1A"/>
    <w:rsid w:val="003E3177"/>
    <w:rsid w:val="003E40A6"/>
    <w:rsid w:val="003E7E82"/>
    <w:rsid w:val="003F2418"/>
    <w:rsid w:val="003F69F5"/>
    <w:rsid w:val="003F7B92"/>
    <w:rsid w:val="00402201"/>
    <w:rsid w:val="00403429"/>
    <w:rsid w:val="00403471"/>
    <w:rsid w:val="00407AFA"/>
    <w:rsid w:val="00414EF1"/>
    <w:rsid w:val="004207FD"/>
    <w:rsid w:val="00431DC1"/>
    <w:rsid w:val="004329A5"/>
    <w:rsid w:val="00440AEF"/>
    <w:rsid w:val="004413B9"/>
    <w:rsid w:val="00442AE8"/>
    <w:rsid w:val="00442E3F"/>
    <w:rsid w:val="0044699A"/>
    <w:rsid w:val="004516D6"/>
    <w:rsid w:val="00453AF2"/>
    <w:rsid w:val="004540F9"/>
    <w:rsid w:val="004541CA"/>
    <w:rsid w:val="004620E6"/>
    <w:rsid w:val="00463DAE"/>
    <w:rsid w:val="0046460A"/>
    <w:rsid w:val="00464907"/>
    <w:rsid w:val="00466B7D"/>
    <w:rsid w:val="00471CCF"/>
    <w:rsid w:val="004727C1"/>
    <w:rsid w:val="004740BF"/>
    <w:rsid w:val="004864BA"/>
    <w:rsid w:val="00486CCC"/>
    <w:rsid w:val="004945A3"/>
    <w:rsid w:val="004965DE"/>
    <w:rsid w:val="00496D7F"/>
    <w:rsid w:val="0049780C"/>
    <w:rsid w:val="004A07FE"/>
    <w:rsid w:val="004A1F51"/>
    <w:rsid w:val="004A5A95"/>
    <w:rsid w:val="004A6D9D"/>
    <w:rsid w:val="004A7F86"/>
    <w:rsid w:val="004B2D39"/>
    <w:rsid w:val="004B7E35"/>
    <w:rsid w:val="004C2E2C"/>
    <w:rsid w:val="004C3232"/>
    <w:rsid w:val="004C5821"/>
    <w:rsid w:val="004D17E5"/>
    <w:rsid w:val="004E0156"/>
    <w:rsid w:val="004F3B56"/>
    <w:rsid w:val="00501D87"/>
    <w:rsid w:val="00503434"/>
    <w:rsid w:val="00505CE5"/>
    <w:rsid w:val="00510000"/>
    <w:rsid w:val="005131D2"/>
    <w:rsid w:val="00516645"/>
    <w:rsid w:val="00525276"/>
    <w:rsid w:val="005353FC"/>
    <w:rsid w:val="0053555D"/>
    <w:rsid w:val="00535E89"/>
    <w:rsid w:val="00537B72"/>
    <w:rsid w:val="0054217E"/>
    <w:rsid w:val="0054481C"/>
    <w:rsid w:val="005508A2"/>
    <w:rsid w:val="005541D8"/>
    <w:rsid w:val="00555AAC"/>
    <w:rsid w:val="005567CE"/>
    <w:rsid w:val="0055686D"/>
    <w:rsid w:val="005578BF"/>
    <w:rsid w:val="00560DFD"/>
    <w:rsid w:val="005626AC"/>
    <w:rsid w:val="00565BE5"/>
    <w:rsid w:val="00567F52"/>
    <w:rsid w:val="00570EA9"/>
    <w:rsid w:val="005719DB"/>
    <w:rsid w:val="00571FC0"/>
    <w:rsid w:val="00573C74"/>
    <w:rsid w:val="005748F5"/>
    <w:rsid w:val="00575DC4"/>
    <w:rsid w:val="0058097C"/>
    <w:rsid w:val="00594C45"/>
    <w:rsid w:val="00596786"/>
    <w:rsid w:val="00597149"/>
    <w:rsid w:val="005A432A"/>
    <w:rsid w:val="005A5197"/>
    <w:rsid w:val="005B068B"/>
    <w:rsid w:val="005B175A"/>
    <w:rsid w:val="005B1FE0"/>
    <w:rsid w:val="005B30E3"/>
    <w:rsid w:val="005B5209"/>
    <w:rsid w:val="005C02AA"/>
    <w:rsid w:val="005C0425"/>
    <w:rsid w:val="005C0AD8"/>
    <w:rsid w:val="005D5EBF"/>
    <w:rsid w:val="005E5906"/>
    <w:rsid w:val="005F77BD"/>
    <w:rsid w:val="00600C53"/>
    <w:rsid w:val="0060106D"/>
    <w:rsid w:val="00601772"/>
    <w:rsid w:val="0060323F"/>
    <w:rsid w:val="00607148"/>
    <w:rsid w:val="00607DE1"/>
    <w:rsid w:val="00612CC2"/>
    <w:rsid w:val="00614B56"/>
    <w:rsid w:val="00615E4C"/>
    <w:rsid w:val="006178B2"/>
    <w:rsid w:val="00621C76"/>
    <w:rsid w:val="006233F8"/>
    <w:rsid w:val="0062407D"/>
    <w:rsid w:val="00624C40"/>
    <w:rsid w:val="00625C33"/>
    <w:rsid w:val="00626E93"/>
    <w:rsid w:val="006314B9"/>
    <w:rsid w:val="006318E1"/>
    <w:rsid w:val="006332AF"/>
    <w:rsid w:val="00635945"/>
    <w:rsid w:val="00636C6C"/>
    <w:rsid w:val="00637889"/>
    <w:rsid w:val="00640333"/>
    <w:rsid w:val="00643F71"/>
    <w:rsid w:val="00645721"/>
    <w:rsid w:val="00650844"/>
    <w:rsid w:val="006516F0"/>
    <w:rsid w:val="00652AB0"/>
    <w:rsid w:val="0065563C"/>
    <w:rsid w:val="006826B4"/>
    <w:rsid w:val="006902F9"/>
    <w:rsid w:val="00692717"/>
    <w:rsid w:val="006A5F5D"/>
    <w:rsid w:val="006A68A2"/>
    <w:rsid w:val="006B1F08"/>
    <w:rsid w:val="006B3081"/>
    <w:rsid w:val="006C5522"/>
    <w:rsid w:val="006C5656"/>
    <w:rsid w:val="006C5D76"/>
    <w:rsid w:val="006D2EDF"/>
    <w:rsid w:val="006D505B"/>
    <w:rsid w:val="006D51FE"/>
    <w:rsid w:val="006D5E2B"/>
    <w:rsid w:val="006E2C48"/>
    <w:rsid w:val="006E33F6"/>
    <w:rsid w:val="006E697A"/>
    <w:rsid w:val="006E71D2"/>
    <w:rsid w:val="0070044E"/>
    <w:rsid w:val="007006A5"/>
    <w:rsid w:val="0070454C"/>
    <w:rsid w:val="00706B94"/>
    <w:rsid w:val="00707F08"/>
    <w:rsid w:val="0071055B"/>
    <w:rsid w:val="00710687"/>
    <w:rsid w:val="00710D50"/>
    <w:rsid w:val="00711EDD"/>
    <w:rsid w:val="00713BE7"/>
    <w:rsid w:val="0071619E"/>
    <w:rsid w:val="00716FE4"/>
    <w:rsid w:val="00732BEE"/>
    <w:rsid w:val="00736C79"/>
    <w:rsid w:val="00736D89"/>
    <w:rsid w:val="00737C49"/>
    <w:rsid w:val="007538C8"/>
    <w:rsid w:val="00754FBB"/>
    <w:rsid w:val="00755E54"/>
    <w:rsid w:val="00756E6A"/>
    <w:rsid w:val="00757BD4"/>
    <w:rsid w:val="007624C3"/>
    <w:rsid w:val="007643A1"/>
    <w:rsid w:val="00765036"/>
    <w:rsid w:val="007650B8"/>
    <w:rsid w:val="0077447F"/>
    <w:rsid w:val="007816F2"/>
    <w:rsid w:val="0078217E"/>
    <w:rsid w:val="00792FD8"/>
    <w:rsid w:val="007936F7"/>
    <w:rsid w:val="007941C4"/>
    <w:rsid w:val="00795978"/>
    <w:rsid w:val="007A099E"/>
    <w:rsid w:val="007A1549"/>
    <w:rsid w:val="007A2842"/>
    <w:rsid w:val="007B08B8"/>
    <w:rsid w:val="007B0BEC"/>
    <w:rsid w:val="007B4680"/>
    <w:rsid w:val="007B46C3"/>
    <w:rsid w:val="007B4D2E"/>
    <w:rsid w:val="007B690D"/>
    <w:rsid w:val="007B7660"/>
    <w:rsid w:val="007B7CBD"/>
    <w:rsid w:val="007C00E3"/>
    <w:rsid w:val="007C4A7E"/>
    <w:rsid w:val="007D154A"/>
    <w:rsid w:val="007D477D"/>
    <w:rsid w:val="007D7E8A"/>
    <w:rsid w:val="007D7ECA"/>
    <w:rsid w:val="007E3E09"/>
    <w:rsid w:val="007E6E4F"/>
    <w:rsid w:val="007E6F4D"/>
    <w:rsid w:val="007F4F10"/>
    <w:rsid w:val="007F6F7C"/>
    <w:rsid w:val="0080047F"/>
    <w:rsid w:val="0080411D"/>
    <w:rsid w:val="00804191"/>
    <w:rsid w:val="0083117C"/>
    <w:rsid w:val="008327F9"/>
    <w:rsid w:val="00841031"/>
    <w:rsid w:val="008435D5"/>
    <w:rsid w:val="00844521"/>
    <w:rsid w:val="008453A2"/>
    <w:rsid w:val="00846215"/>
    <w:rsid w:val="008519CE"/>
    <w:rsid w:val="00851A87"/>
    <w:rsid w:val="0085212E"/>
    <w:rsid w:val="008534CC"/>
    <w:rsid w:val="00856C6A"/>
    <w:rsid w:val="00856E73"/>
    <w:rsid w:val="0086197E"/>
    <w:rsid w:val="00861BAA"/>
    <w:rsid w:val="008648DA"/>
    <w:rsid w:val="008665CB"/>
    <w:rsid w:val="00880C48"/>
    <w:rsid w:val="00881D44"/>
    <w:rsid w:val="00886D69"/>
    <w:rsid w:val="008870AD"/>
    <w:rsid w:val="00893518"/>
    <w:rsid w:val="008967A3"/>
    <w:rsid w:val="008A1264"/>
    <w:rsid w:val="008A16FA"/>
    <w:rsid w:val="008A173D"/>
    <w:rsid w:val="008A5794"/>
    <w:rsid w:val="008A5EB0"/>
    <w:rsid w:val="008A5FA0"/>
    <w:rsid w:val="008A60CD"/>
    <w:rsid w:val="008A77F2"/>
    <w:rsid w:val="008B136F"/>
    <w:rsid w:val="008B1541"/>
    <w:rsid w:val="008B17FB"/>
    <w:rsid w:val="008B1872"/>
    <w:rsid w:val="008B3164"/>
    <w:rsid w:val="008B6081"/>
    <w:rsid w:val="008C0A29"/>
    <w:rsid w:val="008C1E81"/>
    <w:rsid w:val="008C2164"/>
    <w:rsid w:val="008D0018"/>
    <w:rsid w:val="008D22B7"/>
    <w:rsid w:val="008D2546"/>
    <w:rsid w:val="008D3941"/>
    <w:rsid w:val="008D512B"/>
    <w:rsid w:val="008D56EA"/>
    <w:rsid w:val="008E1839"/>
    <w:rsid w:val="008E4F72"/>
    <w:rsid w:val="008F1A19"/>
    <w:rsid w:val="008F2209"/>
    <w:rsid w:val="008F59BC"/>
    <w:rsid w:val="00900F82"/>
    <w:rsid w:val="00901552"/>
    <w:rsid w:val="00907236"/>
    <w:rsid w:val="00913003"/>
    <w:rsid w:val="00914598"/>
    <w:rsid w:val="00915C41"/>
    <w:rsid w:val="009169D5"/>
    <w:rsid w:val="00921F6E"/>
    <w:rsid w:val="00927FBB"/>
    <w:rsid w:val="0093326D"/>
    <w:rsid w:val="00934AFB"/>
    <w:rsid w:val="00945247"/>
    <w:rsid w:val="00960032"/>
    <w:rsid w:val="009603FA"/>
    <w:rsid w:val="009604BD"/>
    <w:rsid w:val="00970B79"/>
    <w:rsid w:val="00975EBC"/>
    <w:rsid w:val="009856B9"/>
    <w:rsid w:val="009908A8"/>
    <w:rsid w:val="009932FD"/>
    <w:rsid w:val="00993C08"/>
    <w:rsid w:val="00997235"/>
    <w:rsid w:val="009A1BAA"/>
    <w:rsid w:val="009B430E"/>
    <w:rsid w:val="009B7DF3"/>
    <w:rsid w:val="009C2E66"/>
    <w:rsid w:val="009C5349"/>
    <w:rsid w:val="009D107C"/>
    <w:rsid w:val="009D1115"/>
    <w:rsid w:val="009D3F8B"/>
    <w:rsid w:val="009D4E16"/>
    <w:rsid w:val="009D61D8"/>
    <w:rsid w:val="009E02A2"/>
    <w:rsid w:val="009E06D7"/>
    <w:rsid w:val="009E097E"/>
    <w:rsid w:val="009E240F"/>
    <w:rsid w:val="009E5F09"/>
    <w:rsid w:val="009F0361"/>
    <w:rsid w:val="009F3776"/>
    <w:rsid w:val="009F6EFF"/>
    <w:rsid w:val="009F7B35"/>
    <w:rsid w:val="00A01632"/>
    <w:rsid w:val="00A01B2F"/>
    <w:rsid w:val="00A16FF3"/>
    <w:rsid w:val="00A20C59"/>
    <w:rsid w:val="00A212C8"/>
    <w:rsid w:val="00A2215F"/>
    <w:rsid w:val="00A22CC5"/>
    <w:rsid w:val="00A2579F"/>
    <w:rsid w:val="00A30109"/>
    <w:rsid w:val="00A32967"/>
    <w:rsid w:val="00A3456B"/>
    <w:rsid w:val="00A40CB5"/>
    <w:rsid w:val="00A43438"/>
    <w:rsid w:val="00A449A2"/>
    <w:rsid w:val="00A45B25"/>
    <w:rsid w:val="00A4643A"/>
    <w:rsid w:val="00A471F9"/>
    <w:rsid w:val="00A51350"/>
    <w:rsid w:val="00A54B80"/>
    <w:rsid w:val="00A606D0"/>
    <w:rsid w:val="00A60734"/>
    <w:rsid w:val="00A61967"/>
    <w:rsid w:val="00A61E34"/>
    <w:rsid w:val="00A746BE"/>
    <w:rsid w:val="00A74A1A"/>
    <w:rsid w:val="00A753F9"/>
    <w:rsid w:val="00A91AE5"/>
    <w:rsid w:val="00AA6A14"/>
    <w:rsid w:val="00AB024C"/>
    <w:rsid w:val="00AB4AC4"/>
    <w:rsid w:val="00AB4F45"/>
    <w:rsid w:val="00AB5D9C"/>
    <w:rsid w:val="00AC0DA3"/>
    <w:rsid w:val="00AC1C8D"/>
    <w:rsid w:val="00AC227F"/>
    <w:rsid w:val="00AC7BFD"/>
    <w:rsid w:val="00AD2047"/>
    <w:rsid w:val="00AD3B35"/>
    <w:rsid w:val="00AD7074"/>
    <w:rsid w:val="00AE1551"/>
    <w:rsid w:val="00AE24CD"/>
    <w:rsid w:val="00AE3A7E"/>
    <w:rsid w:val="00AE614E"/>
    <w:rsid w:val="00AF1878"/>
    <w:rsid w:val="00AF2165"/>
    <w:rsid w:val="00AF54EA"/>
    <w:rsid w:val="00B01411"/>
    <w:rsid w:val="00B0697C"/>
    <w:rsid w:val="00B10434"/>
    <w:rsid w:val="00B1088B"/>
    <w:rsid w:val="00B12C0B"/>
    <w:rsid w:val="00B14C53"/>
    <w:rsid w:val="00B14DB9"/>
    <w:rsid w:val="00B160B2"/>
    <w:rsid w:val="00B165D1"/>
    <w:rsid w:val="00B16C99"/>
    <w:rsid w:val="00B23B38"/>
    <w:rsid w:val="00B26D16"/>
    <w:rsid w:val="00B32A58"/>
    <w:rsid w:val="00B338D1"/>
    <w:rsid w:val="00B342E8"/>
    <w:rsid w:val="00B348F4"/>
    <w:rsid w:val="00B3500E"/>
    <w:rsid w:val="00B37D3A"/>
    <w:rsid w:val="00B4348C"/>
    <w:rsid w:val="00B44A56"/>
    <w:rsid w:val="00B46C9A"/>
    <w:rsid w:val="00B46FDE"/>
    <w:rsid w:val="00B47A8F"/>
    <w:rsid w:val="00B47D8F"/>
    <w:rsid w:val="00B529EB"/>
    <w:rsid w:val="00B53066"/>
    <w:rsid w:val="00B537E4"/>
    <w:rsid w:val="00B549FC"/>
    <w:rsid w:val="00B60D01"/>
    <w:rsid w:val="00B61851"/>
    <w:rsid w:val="00B65300"/>
    <w:rsid w:val="00B659D4"/>
    <w:rsid w:val="00B67AE2"/>
    <w:rsid w:val="00B7053C"/>
    <w:rsid w:val="00B7355C"/>
    <w:rsid w:val="00B81862"/>
    <w:rsid w:val="00B82180"/>
    <w:rsid w:val="00B846A3"/>
    <w:rsid w:val="00B860FD"/>
    <w:rsid w:val="00B90DC6"/>
    <w:rsid w:val="00B92580"/>
    <w:rsid w:val="00B95575"/>
    <w:rsid w:val="00B95CED"/>
    <w:rsid w:val="00B968FF"/>
    <w:rsid w:val="00B96952"/>
    <w:rsid w:val="00B9796F"/>
    <w:rsid w:val="00BA1665"/>
    <w:rsid w:val="00BA558B"/>
    <w:rsid w:val="00BB2EB8"/>
    <w:rsid w:val="00BB53EC"/>
    <w:rsid w:val="00BB5521"/>
    <w:rsid w:val="00BB5620"/>
    <w:rsid w:val="00BB6964"/>
    <w:rsid w:val="00BC1079"/>
    <w:rsid w:val="00BC145B"/>
    <w:rsid w:val="00BC466F"/>
    <w:rsid w:val="00BD0B6D"/>
    <w:rsid w:val="00BD1381"/>
    <w:rsid w:val="00BD13C6"/>
    <w:rsid w:val="00BD1615"/>
    <w:rsid w:val="00BD39E4"/>
    <w:rsid w:val="00BD7F47"/>
    <w:rsid w:val="00BE2466"/>
    <w:rsid w:val="00BE7AED"/>
    <w:rsid w:val="00BF2133"/>
    <w:rsid w:val="00BF5F0D"/>
    <w:rsid w:val="00BF7323"/>
    <w:rsid w:val="00C0034C"/>
    <w:rsid w:val="00C0072B"/>
    <w:rsid w:val="00C0411A"/>
    <w:rsid w:val="00C04ED4"/>
    <w:rsid w:val="00C15A1B"/>
    <w:rsid w:val="00C16B26"/>
    <w:rsid w:val="00C17FD3"/>
    <w:rsid w:val="00C21D39"/>
    <w:rsid w:val="00C2257C"/>
    <w:rsid w:val="00C25AA8"/>
    <w:rsid w:val="00C25C76"/>
    <w:rsid w:val="00C27227"/>
    <w:rsid w:val="00C3029A"/>
    <w:rsid w:val="00C403EA"/>
    <w:rsid w:val="00C421D0"/>
    <w:rsid w:val="00C43374"/>
    <w:rsid w:val="00C458D6"/>
    <w:rsid w:val="00C47FE4"/>
    <w:rsid w:val="00C50224"/>
    <w:rsid w:val="00C524D9"/>
    <w:rsid w:val="00C63D70"/>
    <w:rsid w:val="00C641BA"/>
    <w:rsid w:val="00C653C7"/>
    <w:rsid w:val="00C711C0"/>
    <w:rsid w:val="00C72E1D"/>
    <w:rsid w:val="00C74E85"/>
    <w:rsid w:val="00C76ED2"/>
    <w:rsid w:val="00C80CAE"/>
    <w:rsid w:val="00C80F8F"/>
    <w:rsid w:val="00C82782"/>
    <w:rsid w:val="00C84960"/>
    <w:rsid w:val="00C9457F"/>
    <w:rsid w:val="00C959E9"/>
    <w:rsid w:val="00C95B08"/>
    <w:rsid w:val="00CA1ACF"/>
    <w:rsid w:val="00CA37D0"/>
    <w:rsid w:val="00CB0FFA"/>
    <w:rsid w:val="00CB2414"/>
    <w:rsid w:val="00CB4A24"/>
    <w:rsid w:val="00CB6C78"/>
    <w:rsid w:val="00CB730E"/>
    <w:rsid w:val="00CC051F"/>
    <w:rsid w:val="00CC46C9"/>
    <w:rsid w:val="00CC4777"/>
    <w:rsid w:val="00CD1921"/>
    <w:rsid w:val="00CD2504"/>
    <w:rsid w:val="00CD392B"/>
    <w:rsid w:val="00CD517D"/>
    <w:rsid w:val="00CD7B9B"/>
    <w:rsid w:val="00CE4C9A"/>
    <w:rsid w:val="00CF14F1"/>
    <w:rsid w:val="00CF5138"/>
    <w:rsid w:val="00CF6C03"/>
    <w:rsid w:val="00CF7917"/>
    <w:rsid w:val="00D003E9"/>
    <w:rsid w:val="00D061E0"/>
    <w:rsid w:val="00D1682F"/>
    <w:rsid w:val="00D339C7"/>
    <w:rsid w:val="00D35788"/>
    <w:rsid w:val="00D40C70"/>
    <w:rsid w:val="00D448D3"/>
    <w:rsid w:val="00D45D64"/>
    <w:rsid w:val="00D468E0"/>
    <w:rsid w:val="00D514D2"/>
    <w:rsid w:val="00D5500F"/>
    <w:rsid w:val="00D552F8"/>
    <w:rsid w:val="00D5606C"/>
    <w:rsid w:val="00D5794E"/>
    <w:rsid w:val="00D65568"/>
    <w:rsid w:val="00D65F73"/>
    <w:rsid w:val="00D73441"/>
    <w:rsid w:val="00D86763"/>
    <w:rsid w:val="00D90C7E"/>
    <w:rsid w:val="00D91CD1"/>
    <w:rsid w:val="00D9379B"/>
    <w:rsid w:val="00D9533D"/>
    <w:rsid w:val="00DA2530"/>
    <w:rsid w:val="00DA31A4"/>
    <w:rsid w:val="00DB2967"/>
    <w:rsid w:val="00DB2EC6"/>
    <w:rsid w:val="00DB54E4"/>
    <w:rsid w:val="00DC65F0"/>
    <w:rsid w:val="00DC6743"/>
    <w:rsid w:val="00DD41F7"/>
    <w:rsid w:val="00DD5174"/>
    <w:rsid w:val="00DD59BF"/>
    <w:rsid w:val="00DE225E"/>
    <w:rsid w:val="00DE73BC"/>
    <w:rsid w:val="00DE78B1"/>
    <w:rsid w:val="00DF2323"/>
    <w:rsid w:val="00E01293"/>
    <w:rsid w:val="00E01A19"/>
    <w:rsid w:val="00E041AE"/>
    <w:rsid w:val="00E04824"/>
    <w:rsid w:val="00E05BEE"/>
    <w:rsid w:val="00E1339B"/>
    <w:rsid w:val="00E17CF1"/>
    <w:rsid w:val="00E17E88"/>
    <w:rsid w:val="00E22D05"/>
    <w:rsid w:val="00E27BD6"/>
    <w:rsid w:val="00E32127"/>
    <w:rsid w:val="00E40649"/>
    <w:rsid w:val="00E440E8"/>
    <w:rsid w:val="00E45F56"/>
    <w:rsid w:val="00E46043"/>
    <w:rsid w:val="00E54A50"/>
    <w:rsid w:val="00E617D6"/>
    <w:rsid w:val="00E61D21"/>
    <w:rsid w:val="00E63317"/>
    <w:rsid w:val="00E647C3"/>
    <w:rsid w:val="00E64C8F"/>
    <w:rsid w:val="00E663D5"/>
    <w:rsid w:val="00E8222F"/>
    <w:rsid w:val="00E9406A"/>
    <w:rsid w:val="00E96A68"/>
    <w:rsid w:val="00EA29DF"/>
    <w:rsid w:val="00EB002B"/>
    <w:rsid w:val="00EB2797"/>
    <w:rsid w:val="00EB70BA"/>
    <w:rsid w:val="00EC7578"/>
    <w:rsid w:val="00ED6521"/>
    <w:rsid w:val="00ED6B58"/>
    <w:rsid w:val="00ED6FCA"/>
    <w:rsid w:val="00EE191D"/>
    <w:rsid w:val="00EE37CE"/>
    <w:rsid w:val="00EE3D6C"/>
    <w:rsid w:val="00EE5448"/>
    <w:rsid w:val="00EF12CF"/>
    <w:rsid w:val="00EF22D8"/>
    <w:rsid w:val="00EF70D0"/>
    <w:rsid w:val="00F004AF"/>
    <w:rsid w:val="00F01786"/>
    <w:rsid w:val="00F026DF"/>
    <w:rsid w:val="00F02D6B"/>
    <w:rsid w:val="00F1131D"/>
    <w:rsid w:val="00F134B9"/>
    <w:rsid w:val="00F13E8D"/>
    <w:rsid w:val="00F1617B"/>
    <w:rsid w:val="00F16382"/>
    <w:rsid w:val="00F2127E"/>
    <w:rsid w:val="00F23B61"/>
    <w:rsid w:val="00F339D7"/>
    <w:rsid w:val="00F33D58"/>
    <w:rsid w:val="00F37327"/>
    <w:rsid w:val="00F37371"/>
    <w:rsid w:val="00F40416"/>
    <w:rsid w:val="00F42FFE"/>
    <w:rsid w:val="00F46379"/>
    <w:rsid w:val="00F46CEA"/>
    <w:rsid w:val="00F475E6"/>
    <w:rsid w:val="00F521DB"/>
    <w:rsid w:val="00F5389E"/>
    <w:rsid w:val="00F54F9D"/>
    <w:rsid w:val="00F56B5B"/>
    <w:rsid w:val="00F57F78"/>
    <w:rsid w:val="00F64977"/>
    <w:rsid w:val="00F6502C"/>
    <w:rsid w:val="00F677BB"/>
    <w:rsid w:val="00F734AB"/>
    <w:rsid w:val="00F81BAE"/>
    <w:rsid w:val="00F81CEE"/>
    <w:rsid w:val="00F833D2"/>
    <w:rsid w:val="00F8460B"/>
    <w:rsid w:val="00F847C6"/>
    <w:rsid w:val="00F8629F"/>
    <w:rsid w:val="00F93FE7"/>
    <w:rsid w:val="00FA45CF"/>
    <w:rsid w:val="00FA5BC5"/>
    <w:rsid w:val="00FB1501"/>
    <w:rsid w:val="00FB58F9"/>
    <w:rsid w:val="00FB7C71"/>
    <w:rsid w:val="00FD0B86"/>
    <w:rsid w:val="00FD18A9"/>
    <w:rsid w:val="00FD1BDF"/>
    <w:rsid w:val="00FD48A6"/>
    <w:rsid w:val="00FD51F8"/>
    <w:rsid w:val="00FE1CE7"/>
    <w:rsid w:val="00FE703F"/>
    <w:rsid w:val="00FE7155"/>
    <w:rsid w:val="00FE7C2C"/>
    <w:rsid w:val="00FF06A3"/>
    <w:rsid w:val="00FF1C3F"/>
    <w:rsid w:val="00FF4ED2"/>
    <w:rsid w:val="00FF79D3"/>
    <w:rsid w:val="21A9AE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59F2E1"/>
  <w15:chartTrackingRefBased/>
  <w15:docId w15:val="{87B26964-634F-4C49-9BB8-E71A840D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DC1"/>
    <w:pPr>
      <w:autoSpaceDE w:val="0"/>
      <w:autoSpaceDN w:val="0"/>
      <w:adjustRightInd w:val="0"/>
      <w:spacing w:before="120" w:after="120" w:line="201" w:lineRule="atLeast"/>
    </w:pPr>
    <w:rPr>
      <w:rFonts w:ascii="Arial" w:hAnsi="Arial" w:cs="Arial"/>
      <w:kern w:val="0"/>
      <w:sz w:val="24"/>
      <w:szCs w:val="20"/>
    </w:rPr>
  </w:style>
  <w:style w:type="paragraph" w:styleId="Heading1">
    <w:name w:val="heading 1"/>
    <w:basedOn w:val="JVBUHeading3"/>
    <w:next w:val="Normal"/>
    <w:link w:val="Heading1Char"/>
    <w:autoRedefine/>
    <w:uiPriority w:val="9"/>
    <w:qFormat/>
    <w:rsid w:val="00652AB0"/>
    <w:pPr>
      <w:spacing w:before="360" w:after="120"/>
      <w:outlineLvl w:val="0"/>
    </w:pPr>
    <w:rPr>
      <w:rFonts w:ascii="Arial" w:hAnsi="Arial" w:cs="Arial"/>
      <w:color w:val="293D8A"/>
      <w:sz w:val="32"/>
      <w:szCs w:val="32"/>
    </w:rPr>
  </w:style>
  <w:style w:type="paragraph" w:styleId="Heading2">
    <w:name w:val="heading 2"/>
    <w:basedOn w:val="Normal"/>
    <w:next w:val="Normal"/>
    <w:link w:val="Heading2Char"/>
    <w:uiPriority w:val="9"/>
    <w:unhideWhenUsed/>
    <w:qFormat/>
    <w:rsid w:val="007D477D"/>
    <w:pPr>
      <w:keepNext/>
      <w:keepLines/>
      <w:spacing w:before="40"/>
      <w:outlineLvl w:val="1"/>
    </w:pPr>
    <w:rPr>
      <w:rFonts w:eastAsiaTheme="majorEastAsia"/>
      <w:b/>
      <w:bCs/>
      <w:szCs w:val="24"/>
    </w:rPr>
  </w:style>
  <w:style w:type="paragraph" w:styleId="Heading3">
    <w:name w:val="heading 3"/>
    <w:basedOn w:val="Normal"/>
    <w:next w:val="Normal"/>
    <w:link w:val="Heading3Char"/>
    <w:uiPriority w:val="9"/>
    <w:unhideWhenUsed/>
    <w:qFormat/>
    <w:rsid w:val="008A5FA0"/>
    <w:pPr>
      <w:keepNext/>
      <w:keepLines/>
      <w:spacing w:before="40" w:after="0"/>
      <w:outlineLvl w:val="2"/>
    </w:pPr>
    <w:rPr>
      <w:rFonts w:eastAsiaTheme="majorEastAsia"/>
      <w:szCs w:val="24"/>
      <w:u w:val="single"/>
    </w:rPr>
  </w:style>
  <w:style w:type="paragraph" w:styleId="Heading4">
    <w:name w:val="heading 4"/>
    <w:basedOn w:val="Heading3"/>
    <w:next w:val="Normal"/>
    <w:link w:val="Heading4Char"/>
    <w:uiPriority w:val="9"/>
    <w:unhideWhenUsed/>
    <w:qFormat/>
    <w:rsid w:val="008A5FA0"/>
    <w:pPr>
      <w:spacing w:before="120"/>
      <w:outlineLvl w:val="3"/>
    </w:pPr>
    <w:rPr>
      <w:i/>
      <w:iCs/>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8F5"/>
    <w:pPr>
      <w:numPr>
        <w:numId w:val="21"/>
      </w:numPr>
      <w:contextualSpacing/>
    </w:pPr>
  </w:style>
  <w:style w:type="paragraph" w:styleId="BodyText">
    <w:name w:val="Body Text"/>
    <w:basedOn w:val="Normal"/>
    <w:link w:val="BodyTextChar"/>
    <w:uiPriority w:val="99"/>
    <w:semiHidden/>
    <w:unhideWhenUsed/>
    <w:rsid w:val="00575DC4"/>
  </w:style>
  <w:style w:type="character" w:customStyle="1" w:styleId="BodyTextChar">
    <w:name w:val="Body Text Char"/>
    <w:basedOn w:val="DefaultParagraphFont"/>
    <w:link w:val="BodyText"/>
    <w:uiPriority w:val="99"/>
    <w:semiHidden/>
    <w:rsid w:val="00575DC4"/>
    <w:rPr>
      <w:rFonts w:ascii="Arial" w:hAnsi="Arial" w:cs="Arial"/>
      <w:kern w:val="0"/>
      <w:sz w:val="20"/>
      <w:szCs w:val="20"/>
    </w:rPr>
  </w:style>
  <w:style w:type="paragraph" w:styleId="FootnoteText">
    <w:name w:val="footnote text"/>
    <w:basedOn w:val="Normal"/>
    <w:link w:val="FootnoteTextChar"/>
    <w:uiPriority w:val="99"/>
    <w:unhideWhenUsed/>
    <w:rsid w:val="00130714"/>
    <w:pPr>
      <w:spacing w:after="0" w:line="240" w:lineRule="auto"/>
    </w:pPr>
  </w:style>
  <w:style w:type="character" w:customStyle="1" w:styleId="FootnoteTextChar">
    <w:name w:val="Footnote Text Char"/>
    <w:basedOn w:val="DefaultParagraphFont"/>
    <w:link w:val="FootnoteText"/>
    <w:uiPriority w:val="99"/>
    <w:rsid w:val="00130714"/>
    <w:rPr>
      <w:rFonts w:ascii="Arial" w:hAnsi="Arial" w:cs="Arial"/>
      <w:kern w:val="0"/>
      <w:sz w:val="20"/>
      <w:szCs w:val="20"/>
    </w:rPr>
  </w:style>
  <w:style w:type="character" w:styleId="FootnoteReference">
    <w:name w:val="footnote reference"/>
    <w:basedOn w:val="DefaultParagraphFont"/>
    <w:uiPriority w:val="99"/>
    <w:semiHidden/>
    <w:unhideWhenUsed/>
    <w:rsid w:val="00130714"/>
    <w:rPr>
      <w:vertAlign w:val="superscript"/>
    </w:rPr>
  </w:style>
  <w:style w:type="paragraph" w:customStyle="1" w:styleId="Default">
    <w:name w:val="Default"/>
    <w:rsid w:val="002C2A1F"/>
    <w:pPr>
      <w:autoSpaceDE w:val="0"/>
      <w:autoSpaceDN w:val="0"/>
      <w:adjustRightInd w:val="0"/>
      <w:spacing w:after="0" w:line="240" w:lineRule="auto"/>
    </w:pPr>
    <w:rPr>
      <w:rFonts w:ascii="DIN 2014" w:hAnsi="DIN 2014" w:cs="DIN 2014"/>
      <w:color w:val="000000"/>
      <w:kern w:val="0"/>
      <w:sz w:val="24"/>
      <w:szCs w:val="24"/>
    </w:rPr>
  </w:style>
  <w:style w:type="paragraph" w:customStyle="1" w:styleId="Pa2">
    <w:name w:val="Pa2"/>
    <w:basedOn w:val="Default"/>
    <w:next w:val="Default"/>
    <w:uiPriority w:val="99"/>
    <w:rsid w:val="002C2A1F"/>
    <w:pPr>
      <w:spacing w:line="201" w:lineRule="atLeast"/>
    </w:pPr>
    <w:rPr>
      <w:rFonts w:cstheme="minorBidi"/>
      <w:color w:val="auto"/>
    </w:rPr>
  </w:style>
  <w:style w:type="character" w:customStyle="1" w:styleId="A4">
    <w:name w:val="A4"/>
    <w:uiPriority w:val="99"/>
    <w:rsid w:val="00BD13C6"/>
    <w:rPr>
      <w:rFonts w:cs="DIN 2014 Demi"/>
      <w:b/>
      <w:bCs/>
      <w:color w:val="472868"/>
      <w:sz w:val="26"/>
      <w:szCs w:val="26"/>
    </w:rPr>
  </w:style>
  <w:style w:type="character" w:customStyle="1" w:styleId="A5">
    <w:name w:val="A5"/>
    <w:uiPriority w:val="99"/>
    <w:rsid w:val="00BD13C6"/>
    <w:rPr>
      <w:rFonts w:ascii="URW DIN SemiCond Medium" w:hAnsi="URW DIN SemiCond Medium" w:cs="URW DIN SemiCond Medium"/>
      <w:color w:val="615D5C"/>
      <w:sz w:val="18"/>
      <w:szCs w:val="18"/>
    </w:rPr>
  </w:style>
  <w:style w:type="character" w:customStyle="1" w:styleId="Heading1Char">
    <w:name w:val="Heading 1 Char"/>
    <w:basedOn w:val="DefaultParagraphFont"/>
    <w:link w:val="Heading1"/>
    <w:uiPriority w:val="9"/>
    <w:rsid w:val="00652AB0"/>
    <w:rPr>
      <w:rFonts w:ascii="Arial" w:eastAsia="Times New Roman" w:hAnsi="Arial" w:cs="Arial"/>
      <w:b/>
      <w:color w:val="293D8A"/>
      <w:kern w:val="0"/>
      <w:sz w:val="32"/>
      <w:szCs w:val="32"/>
      <w:lang w:eastAsia="ja-JP"/>
      <w14:ligatures w14:val="none"/>
    </w:rPr>
  </w:style>
  <w:style w:type="paragraph" w:styleId="Header">
    <w:name w:val="header"/>
    <w:basedOn w:val="Normal"/>
    <w:link w:val="HeaderChar"/>
    <w:uiPriority w:val="99"/>
    <w:unhideWhenUsed/>
    <w:rsid w:val="00334B7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34B79"/>
    <w:rPr>
      <w:rFonts w:ascii="Arial" w:hAnsi="Arial" w:cs="Arial"/>
      <w:kern w:val="0"/>
      <w:sz w:val="20"/>
      <w:szCs w:val="20"/>
    </w:rPr>
  </w:style>
  <w:style w:type="paragraph" w:styleId="Footer">
    <w:name w:val="footer"/>
    <w:basedOn w:val="Normal"/>
    <w:link w:val="FooterChar"/>
    <w:uiPriority w:val="99"/>
    <w:unhideWhenUsed/>
    <w:rsid w:val="00334B7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34B79"/>
    <w:rPr>
      <w:rFonts w:ascii="Arial" w:hAnsi="Arial" w:cs="Arial"/>
      <w:kern w:val="0"/>
      <w:sz w:val="20"/>
      <w:szCs w:val="20"/>
    </w:rPr>
  </w:style>
  <w:style w:type="character" w:customStyle="1" w:styleId="Heading2Char">
    <w:name w:val="Heading 2 Char"/>
    <w:basedOn w:val="DefaultParagraphFont"/>
    <w:link w:val="Heading2"/>
    <w:uiPriority w:val="9"/>
    <w:rsid w:val="007D477D"/>
    <w:rPr>
      <w:rFonts w:ascii="Arial" w:eastAsiaTheme="majorEastAsia" w:hAnsi="Arial" w:cs="Arial"/>
      <w:b/>
      <w:bCs/>
      <w:kern w:val="0"/>
      <w:sz w:val="24"/>
      <w:szCs w:val="24"/>
    </w:rPr>
  </w:style>
  <w:style w:type="paragraph" w:customStyle="1" w:styleId="Pa3">
    <w:name w:val="Pa3"/>
    <w:basedOn w:val="Default"/>
    <w:next w:val="Default"/>
    <w:uiPriority w:val="99"/>
    <w:rsid w:val="00330EAB"/>
    <w:pPr>
      <w:spacing w:line="221" w:lineRule="atLeast"/>
    </w:pPr>
    <w:rPr>
      <w:rFonts w:ascii="URW DIN SemiCond Demi" w:hAnsi="URW DIN SemiCond Demi" w:cstheme="minorBidi"/>
      <w:color w:val="auto"/>
    </w:rPr>
  </w:style>
  <w:style w:type="character" w:customStyle="1" w:styleId="A7">
    <w:name w:val="A7"/>
    <w:uiPriority w:val="99"/>
    <w:rsid w:val="00330EAB"/>
    <w:rPr>
      <w:rFonts w:ascii="DIN 2014" w:hAnsi="DIN 2014" w:cs="DIN 2014"/>
      <w:color w:val="615D5C"/>
      <w:sz w:val="11"/>
      <w:szCs w:val="11"/>
    </w:rPr>
  </w:style>
  <w:style w:type="paragraph" w:styleId="NoSpacing">
    <w:name w:val="No Spacing"/>
    <w:uiPriority w:val="1"/>
    <w:qFormat/>
    <w:rsid w:val="00C76ED2"/>
    <w:pPr>
      <w:autoSpaceDE w:val="0"/>
      <w:autoSpaceDN w:val="0"/>
      <w:adjustRightInd w:val="0"/>
      <w:spacing w:after="0" w:line="240" w:lineRule="auto"/>
    </w:pPr>
    <w:rPr>
      <w:rFonts w:ascii="Arial" w:hAnsi="Arial" w:cs="Arial"/>
      <w:kern w:val="0"/>
      <w:sz w:val="20"/>
      <w:szCs w:val="20"/>
    </w:rPr>
  </w:style>
  <w:style w:type="character" w:customStyle="1" w:styleId="A6">
    <w:name w:val="A6"/>
    <w:uiPriority w:val="99"/>
    <w:rsid w:val="00291F49"/>
    <w:rPr>
      <w:rFonts w:cs="URW DIN SemiCond Demi"/>
      <w:b/>
      <w:bCs/>
      <w:color w:val="E43775"/>
      <w:sz w:val="22"/>
      <w:szCs w:val="22"/>
    </w:rPr>
  </w:style>
  <w:style w:type="paragraph" w:styleId="Title">
    <w:name w:val="Title"/>
    <w:basedOn w:val="Normal"/>
    <w:next w:val="Normal"/>
    <w:link w:val="TitleChar"/>
    <w:uiPriority w:val="10"/>
    <w:qFormat/>
    <w:rsid w:val="00BD39E4"/>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9E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8A5FA0"/>
    <w:rPr>
      <w:rFonts w:ascii="Arial" w:eastAsiaTheme="majorEastAsia" w:hAnsi="Arial" w:cs="Arial"/>
      <w:kern w:val="0"/>
      <w:sz w:val="24"/>
      <w:szCs w:val="24"/>
      <w:u w:val="single"/>
    </w:rPr>
  </w:style>
  <w:style w:type="paragraph" w:customStyle="1" w:styleId="JVBUHeading3">
    <w:name w:val="JVBU Heading 3"/>
    <w:basedOn w:val="Normal"/>
    <w:qFormat/>
    <w:rsid w:val="00A43438"/>
    <w:pPr>
      <w:autoSpaceDE/>
      <w:autoSpaceDN/>
      <w:adjustRightInd/>
      <w:spacing w:before="100" w:after="100" w:line="240" w:lineRule="auto"/>
    </w:pPr>
    <w:rPr>
      <w:rFonts w:ascii="Calibri" w:eastAsia="Times New Roman" w:hAnsi="Calibri" w:cs="Times New Roman"/>
      <w:b/>
      <w:color w:val="333333"/>
      <w:sz w:val="23"/>
      <w:szCs w:val="24"/>
      <w:lang w:eastAsia="ja-JP"/>
      <w14:ligatures w14:val="none"/>
    </w:rPr>
  </w:style>
  <w:style w:type="character" w:customStyle="1" w:styleId="Heading4Char">
    <w:name w:val="Heading 4 Char"/>
    <w:basedOn w:val="DefaultParagraphFont"/>
    <w:link w:val="Heading4"/>
    <w:uiPriority w:val="9"/>
    <w:rsid w:val="008A5FA0"/>
    <w:rPr>
      <w:rFonts w:ascii="Arial" w:eastAsiaTheme="majorEastAsia" w:hAnsi="Arial" w:cs="Arial"/>
      <w:i/>
      <w:iCs/>
      <w:kern w:val="0"/>
      <w:sz w:val="24"/>
      <w:szCs w:val="24"/>
    </w:rPr>
  </w:style>
  <w:style w:type="character" w:styleId="Hyperlink">
    <w:name w:val="Hyperlink"/>
    <w:basedOn w:val="DefaultParagraphFont"/>
    <w:uiPriority w:val="99"/>
    <w:unhideWhenUsed/>
    <w:rsid w:val="00625C33"/>
    <w:rPr>
      <w:color w:val="0563C1" w:themeColor="hyperlink"/>
      <w:u w:val="single"/>
    </w:rPr>
  </w:style>
  <w:style w:type="character" w:styleId="UnresolvedMention">
    <w:name w:val="Unresolved Mention"/>
    <w:basedOn w:val="DefaultParagraphFont"/>
    <w:uiPriority w:val="99"/>
    <w:semiHidden/>
    <w:unhideWhenUsed/>
    <w:rsid w:val="00625C33"/>
    <w:rPr>
      <w:color w:val="605E5C"/>
      <w:shd w:val="clear" w:color="auto" w:fill="E1DFDD"/>
    </w:rPr>
  </w:style>
  <w:style w:type="character" w:styleId="Emphasis">
    <w:name w:val="Emphasis"/>
    <w:basedOn w:val="DefaultParagraphFont"/>
    <w:uiPriority w:val="20"/>
    <w:qFormat/>
    <w:rsid w:val="005E5906"/>
    <w:rPr>
      <w:i/>
      <w:iCs/>
    </w:rPr>
  </w:style>
  <w:style w:type="paragraph" w:styleId="CommentText">
    <w:name w:val="annotation text"/>
    <w:basedOn w:val="Normal"/>
    <w:link w:val="CommentTextChar"/>
    <w:uiPriority w:val="99"/>
    <w:semiHidden/>
    <w:unhideWhenUsed/>
    <w:rsid w:val="00571FC0"/>
    <w:pPr>
      <w:spacing w:line="240" w:lineRule="auto"/>
    </w:pPr>
  </w:style>
  <w:style w:type="character" w:customStyle="1" w:styleId="CommentTextChar">
    <w:name w:val="Comment Text Char"/>
    <w:basedOn w:val="DefaultParagraphFont"/>
    <w:link w:val="CommentText"/>
    <w:uiPriority w:val="99"/>
    <w:semiHidden/>
    <w:rsid w:val="00571FC0"/>
    <w:rPr>
      <w:rFonts w:ascii="Arial" w:hAnsi="Arial" w:cs="Arial"/>
      <w:kern w:val="0"/>
      <w:sz w:val="20"/>
      <w:szCs w:val="20"/>
    </w:rPr>
  </w:style>
  <w:style w:type="character" w:styleId="CommentReference">
    <w:name w:val="annotation reference"/>
    <w:basedOn w:val="DefaultParagraphFont"/>
    <w:uiPriority w:val="99"/>
    <w:semiHidden/>
    <w:unhideWhenUsed/>
    <w:rsid w:val="00571FC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5727">
      <w:bodyDiv w:val="1"/>
      <w:marLeft w:val="0"/>
      <w:marRight w:val="0"/>
      <w:marTop w:val="0"/>
      <w:marBottom w:val="0"/>
      <w:divBdr>
        <w:top w:val="none" w:sz="0" w:space="0" w:color="auto"/>
        <w:left w:val="none" w:sz="0" w:space="0" w:color="auto"/>
        <w:bottom w:val="none" w:sz="0" w:space="0" w:color="auto"/>
        <w:right w:val="none" w:sz="0" w:space="0" w:color="auto"/>
      </w:divBdr>
    </w:div>
    <w:div w:id="180510606">
      <w:bodyDiv w:val="1"/>
      <w:marLeft w:val="0"/>
      <w:marRight w:val="0"/>
      <w:marTop w:val="0"/>
      <w:marBottom w:val="0"/>
      <w:divBdr>
        <w:top w:val="none" w:sz="0" w:space="0" w:color="auto"/>
        <w:left w:val="none" w:sz="0" w:space="0" w:color="auto"/>
        <w:bottom w:val="none" w:sz="0" w:space="0" w:color="auto"/>
        <w:right w:val="none" w:sz="0" w:space="0" w:color="auto"/>
      </w:divBdr>
    </w:div>
    <w:div w:id="854616857">
      <w:bodyDiv w:val="1"/>
      <w:marLeft w:val="0"/>
      <w:marRight w:val="0"/>
      <w:marTop w:val="0"/>
      <w:marBottom w:val="0"/>
      <w:divBdr>
        <w:top w:val="none" w:sz="0" w:space="0" w:color="auto"/>
        <w:left w:val="none" w:sz="0" w:space="0" w:color="auto"/>
        <w:bottom w:val="none" w:sz="0" w:space="0" w:color="auto"/>
        <w:right w:val="none" w:sz="0" w:space="0" w:color="auto"/>
      </w:divBdr>
    </w:div>
    <w:div w:id="188875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lpauckland.org.nz/wp-content/uploads/Sexual-Abuse-Statistics-September-2023.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justice.govt.nz/assets/Documents/Publications/NZCVS-2023-Cycle-6-Sexual-violence-and-family-offences.xls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fficeforseniors.govt.nz/our-work/raising-awareness-of-elder-abus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ustice.govt.nz/assets/documents/publications/nzcvs-5-years-poster-web.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justice.govt.nz/assets/documents/publications/nzcvs-5-years-poster-web.pdf" TargetMode="External"/><Relationship Id="rId2" Type="http://schemas.openxmlformats.org/officeDocument/2006/relationships/hyperlink" Target="https://helpauckland.org.nz/wp-content/uploads/Sexual-Abuse-Statistics-September-2023.pdf" TargetMode="External"/><Relationship Id="rId1" Type="http://schemas.openxmlformats.org/officeDocument/2006/relationships/hyperlink" Target="https://www.justice.govt.nz/assets/Documents/Publications/NZCVS-2023-Cycle-6-Sexual-violence-and-family-offences.xlsx" TargetMode="External"/><Relationship Id="rId4" Type="http://schemas.openxmlformats.org/officeDocument/2006/relationships/hyperlink" Target="https://officeforseniors.govt.nz/our-work/raising-awareness-of-elder-abu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usinessActivityTaxHTField xmlns="1213db41-97b1-4e79-9d48-1363723dd8dd">
      <Terms xmlns="http://schemas.microsoft.com/office/infopath/2007/PartnerControls"/>
    </BusinessActivityTaxHTField>
    <TaxCatchAll xmlns="1213db41-97b1-4e79-9d48-1363723dd8dd" xsi:nil="true"/>
    <lcf76f155ced4ddcb4097134ff3c332f xmlns="a59923e5-404c-4183-bdf5-44771fbb6e23">
      <Terms xmlns="http://schemas.microsoft.com/office/infopath/2007/PartnerControls"/>
    </lcf76f155ced4ddcb4097134ff3c332f>
    <DocumentTypeTaxHTField xmlns="1213db41-97b1-4e79-9d48-1363723dd8dd">
      <Terms xmlns="http://schemas.microsoft.com/office/infopath/2007/PartnerControls"/>
    </DocumentTypeTaxHTField>
    <_dlc_DocId xmlns="1213db41-97b1-4e79-9d48-1363723dd8dd">SW3NXXEYE322-726779519-1220</_dlc_DocId>
    <_dlc_DocIdUrl xmlns="1213db41-97b1-4e79-9d48-1363723dd8dd">
      <Url>https://ministryofjusticenz.sharepoint.com/sites/TAK/_layouts/15/DocIdRedir.aspx?ID=SW3NXXEYE322-726779519-1220</Url>
      <Description>SW3NXXEYE322-726779519-1220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AK Document" ma:contentTypeID="0x010100FBA44CD0FFE549439F2534A1419A0275010009BD54DA682B374B8BDDEB5AC265E947" ma:contentTypeVersion="13" ma:contentTypeDescription="default Te Aorerekura document" ma:contentTypeScope="" ma:versionID="ae626a3d6c310b6dc2a6f6caba8b2e51">
  <xsd:schema xmlns:xsd="http://www.w3.org/2001/XMLSchema" xmlns:xs="http://www.w3.org/2001/XMLSchema" xmlns:p="http://schemas.microsoft.com/office/2006/metadata/properties" xmlns:ns2="1213db41-97b1-4e79-9d48-1363723dd8dd" xmlns:ns3="a59923e5-404c-4183-bdf5-44771fbb6e23" targetNamespace="http://schemas.microsoft.com/office/2006/metadata/properties" ma:root="true" ma:fieldsID="8e3cd95073cf5ae42c157a8dd78a4d28" ns2:_="" ns3:_="">
    <xsd:import namespace="1213db41-97b1-4e79-9d48-1363723dd8dd"/>
    <xsd:import namespace="a59923e5-404c-4183-bdf5-44771fbb6e23"/>
    <xsd:element name="properties">
      <xsd:complexType>
        <xsd:sequence>
          <xsd:element name="documentManagement">
            <xsd:complexType>
              <xsd:all>
                <xsd:element ref="ns2:BusinessActivityTaxHTField" minOccurs="0"/>
                <xsd:element ref="ns2:TaxCatchAll" minOccurs="0"/>
                <xsd:element ref="ns2:TaxCatchAllLabel" minOccurs="0"/>
                <xsd:element ref="ns2:DocumentTypeTaxHTField"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3db41-97b1-4e79-9d48-1363723dd8dd" elementFormDefault="qualified">
    <xsd:import namespace="http://schemas.microsoft.com/office/2006/documentManagement/types"/>
    <xsd:import namespace="http://schemas.microsoft.com/office/infopath/2007/PartnerControls"/>
    <xsd:element name="BusinessActivityTaxHTField" ma:index="8" nillable="true" ma:taxonomy="true" ma:internalName="BusinessActivityTaxHTField" ma:taxonomyFieldName="BusinessActivity" ma:displayName="Business Activity" ma:default="" ma:fieldId="{7200db8e-df9d-470e-9048-5e152513962e}" ma:sspId="e1e2d475-dc97-41b9-a896-027d07f5a0e8" ma:termSetId="7fdcff37-7cb5-40ea-bfab-422af305800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ceccc93-e384-4f64-ae11-a57ff2b8d54d}" ma:internalName="TaxCatchAll" ma:showField="CatchAllData" ma:web="1213db41-97b1-4e79-9d48-1363723dd8d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eccc93-e384-4f64-ae11-a57ff2b8d54d}" ma:internalName="TaxCatchAllLabel" ma:readOnly="true" ma:showField="CatchAllDataLabel" ma:web="1213db41-97b1-4e79-9d48-1363723dd8dd">
      <xsd:complexType>
        <xsd:complexContent>
          <xsd:extension base="dms:MultiChoiceLookup">
            <xsd:sequence>
              <xsd:element name="Value" type="dms:Lookup" maxOccurs="unbounded" minOccurs="0" nillable="true"/>
            </xsd:sequence>
          </xsd:extension>
        </xsd:complexContent>
      </xsd:complexType>
    </xsd:element>
    <xsd:element name="DocumentTypeTaxHTField" ma:index="12" nillable="true" ma:taxonomy="true" ma:internalName="DocumentTypeTaxHTField" ma:taxonomyFieldName="DocumentType" ma:displayName="Document Type" ma:default="" ma:fieldId="{c154f433-79f9-4288-b84e-2183f58207df}" ma:sspId="e1e2d475-dc97-41b9-a896-027d07f5a0e8" ma:termSetId="9a0f1dcf-5ff3-4310-bcf0-a07d8c551956"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923e5-404c-4183-bdf5-44771fbb6e23"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1e2d475-dc97-41b9-a896-027d07f5a0e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FF9E28-C37E-4517-A345-0A71DB029165}">
  <ds:schemaRefs>
    <ds:schemaRef ds:uri="http://schemas.microsoft.com/sharepoint/v3/contenttype/forms"/>
  </ds:schemaRefs>
</ds:datastoreItem>
</file>

<file path=customXml/itemProps2.xml><?xml version="1.0" encoding="utf-8"?>
<ds:datastoreItem xmlns:ds="http://schemas.openxmlformats.org/officeDocument/2006/customXml" ds:itemID="{7D8BD03A-BA6C-45BB-A8E4-E1B10B5459D7}">
  <ds:schemaRefs>
    <ds:schemaRef ds:uri="http://schemas.openxmlformats.org/officeDocument/2006/bibliography"/>
  </ds:schemaRefs>
</ds:datastoreItem>
</file>

<file path=customXml/itemProps3.xml><?xml version="1.0" encoding="utf-8"?>
<ds:datastoreItem xmlns:ds="http://schemas.openxmlformats.org/officeDocument/2006/customXml" ds:itemID="{FB8E29DA-33C7-43E2-86CD-53254628743F}">
  <ds:schemaRefs>
    <ds:schemaRef ds:uri="http://schemas.microsoft.com/office/2006/documentManagement/types"/>
    <ds:schemaRef ds:uri="1213db41-97b1-4e79-9d48-1363723dd8dd"/>
    <ds:schemaRef ds:uri="http://schemas.microsoft.com/office/infopath/2007/PartnerControls"/>
    <ds:schemaRef ds:uri="http://purl.org/dc/elements/1.1/"/>
    <ds:schemaRef ds:uri="http://schemas.microsoft.com/office/2006/metadata/properties"/>
    <ds:schemaRef ds:uri="a59923e5-404c-4183-bdf5-44771fbb6e2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321BC4C-8844-420D-92BF-7D089C197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3db41-97b1-4e79-9d48-1363723dd8dd"/>
    <ds:schemaRef ds:uri="a59923e5-404c-4183-bdf5-44771fbb6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38F634-1CC9-44F1-87E4-6E6004B22C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4497</TotalTime>
  <Pages>36</Pages>
  <Words>10018</Words>
  <Characters>57105</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Ministry of Justice</Company>
  <LinksUpToDate>false</LinksUpToDate>
  <CharactersWithSpaces>66990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Ranger, Laura</dc:creator>
  <cp:keywords/>
  <dc:description/>
  <cp:lastModifiedBy>Ranger, Laura</cp:lastModifiedBy>
  <cp:revision>784</cp:revision>
  <dcterms:created xsi:type="dcterms:W3CDTF">2024-11-17T20:17:00Z</dcterms:created>
  <dcterms:modified xsi:type="dcterms:W3CDTF">2024-12-13T00:37:00Z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0x010100FBA44CD0FFE549439F2534A1419A0275010009BD54DA682B374B8BDDEB5AC265E947</vt:lpwstr>
  </property>
  <property fmtid="{D5CDD505-2E9C-101B-9397-08002B2CF9AE}" pid="3" name="_dlc_DocIdItemGuid">
    <vt:lpwstr>c5e9e70b-ac51-4047-a45a-1ae26060fcf7</vt:lpwstr>
  </property>
  <property fmtid="{D5CDD505-2E9C-101B-9397-08002B2CF9AE}" pid="4" name="MediaServiceImageTags">
    <vt:lpwstr/>
  </property>
  <property fmtid="{D5CDD505-2E9C-101B-9397-08002B2CF9AE}" pid="5" name="DocumentType">
    <vt:lpwstr/>
  </property>
  <property fmtid="{D5CDD505-2E9C-101B-9397-08002B2CF9AE}" pid="6" name="BusinessActivity">
    <vt:lpwstr/>
  </property>
</Properties>
</file>