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2CF8" w:rsidR="004965DE" w:rsidP="00992BBB" w:rsidRDefault="001D4B84" w14:paraId="3375D414" w14:textId="1F0A0024">
      <w:pPr>
        <w:pStyle w:val="Title"/>
      </w:pPr>
      <w:r w:rsidRPr="00132CF8">
        <w:t xml:space="preserve">Te Aorerekura Action Plan 2025-2030: </w:t>
      </w:r>
      <w:r w:rsidRPr="00132CF8" w:rsidR="00FC5C07">
        <w:br/>
      </w:r>
      <w:r w:rsidRPr="00132CF8">
        <w:t xml:space="preserve">Breaking </w:t>
      </w:r>
      <w:r w:rsidRPr="00132CF8" w:rsidR="00D65568">
        <w:t>t</w:t>
      </w:r>
      <w:r w:rsidRPr="00132CF8">
        <w:t xml:space="preserve">he Cycle </w:t>
      </w:r>
      <w:r w:rsidRPr="00132CF8" w:rsidR="009E097E">
        <w:t>o</w:t>
      </w:r>
      <w:r w:rsidRPr="00132CF8">
        <w:t>f Violence</w:t>
      </w:r>
    </w:p>
    <w:p w:rsidRPr="00132CF8" w:rsidR="008519CE" w:rsidP="00264F8D" w:rsidRDefault="008519CE" w14:paraId="4E7A8E1D" w14:textId="6852A5A8">
      <w:r w:rsidRPr="00132CF8">
        <w:t xml:space="preserve">Family violence and sexual violence are a crisis in New Zealand. </w:t>
      </w:r>
    </w:p>
    <w:p w:rsidRPr="00132CF8" w:rsidR="004945A3" w:rsidP="00992BBB" w:rsidRDefault="00A40CB5" w14:paraId="22CF930C" w14:textId="77777777">
      <w:r w:rsidRPr="00132CF8">
        <w:t>The second Action Plan builds on the important work that began in 2021, when Te</w:t>
      </w:r>
      <w:r w:rsidRPr="00132CF8" w:rsidR="003A66DA">
        <w:t> </w:t>
      </w:r>
      <w:r w:rsidRPr="00132CF8">
        <w:t xml:space="preserve">Aorerekura </w:t>
      </w:r>
      <w:r w:rsidRPr="00132CF8" w:rsidR="00306A80">
        <w:t>(the National Strategy for the Elimination of Family Violence and Sexual Violence) was launched. The</w:t>
      </w:r>
      <w:r w:rsidRPr="00132CF8">
        <w:t xml:space="preserve"> first Action Plan (2021-2023) laid </w:t>
      </w:r>
      <w:r w:rsidRPr="00132CF8" w:rsidR="00306A80">
        <w:t xml:space="preserve">the </w:t>
      </w:r>
      <w:r w:rsidRPr="00132CF8">
        <w:t>foundation</w:t>
      </w:r>
      <w:r w:rsidRPr="00132CF8" w:rsidR="00FA5BC5">
        <w:t>s</w:t>
      </w:r>
      <w:r w:rsidRPr="00132CF8" w:rsidR="00306A80">
        <w:t xml:space="preserve"> that this second Action Plan builds </w:t>
      </w:r>
      <w:r w:rsidRPr="00132CF8" w:rsidR="008B1872">
        <w:t>from</w:t>
      </w:r>
      <w:r w:rsidRPr="00132CF8" w:rsidR="00306A80">
        <w:t>.</w:t>
      </w:r>
      <w:r w:rsidRPr="00132CF8" w:rsidR="00D45D64">
        <w:t xml:space="preserve"> </w:t>
      </w:r>
    </w:p>
    <w:p w:rsidRPr="00132CF8" w:rsidR="00A40CB5" w:rsidP="00264F8D" w:rsidRDefault="00B61851" w14:paraId="4222D2B1" w14:textId="34B1C497">
      <w:r w:rsidRPr="00132CF8">
        <w:t>This new plan</w:t>
      </w:r>
      <w:r w:rsidRPr="00132CF8" w:rsidR="008453A2">
        <w:t xml:space="preserve"> also</w:t>
      </w:r>
      <w:r w:rsidRPr="00132CF8">
        <w:t xml:space="preserve"> contributes to the government’s target to reduced violent crime.</w:t>
      </w:r>
    </w:p>
    <w:p w:rsidRPr="00132CF8" w:rsidR="00CD2504" w:rsidP="00264F8D" w:rsidRDefault="00CD2504" w14:paraId="7C91F9C1" w14:textId="77777777">
      <w:pPr>
        <w:pStyle w:val="Heading1"/>
      </w:pPr>
      <w:r w:rsidRPr="00132CF8">
        <w:t>Focus areas</w:t>
      </w:r>
    </w:p>
    <w:p w:rsidRPr="00132CF8" w:rsidR="00C82782" w:rsidP="00264F8D" w:rsidRDefault="00A2579F" w14:paraId="48BEC6D7" w14:textId="007442FD">
      <w:r w:rsidRPr="00132CF8">
        <w:t xml:space="preserve">The second Action Plan </w:t>
      </w:r>
      <w:r w:rsidRPr="00132CF8" w:rsidR="00071922">
        <w:t>has</w:t>
      </w:r>
      <w:r w:rsidRPr="00132CF8" w:rsidR="00AE24CD">
        <w:t xml:space="preserve"> seven focus areas that will guide government action over the next five years</w:t>
      </w:r>
      <w:r w:rsidRPr="00132CF8" w:rsidR="00A51350">
        <w:t xml:space="preserve">. </w:t>
      </w:r>
      <w:r w:rsidRPr="00132CF8" w:rsidR="00C82782">
        <w:t>The</w:t>
      </w:r>
      <w:r w:rsidRPr="00132CF8" w:rsidR="00A51350">
        <w:t>se</w:t>
      </w:r>
      <w:r w:rsidRPr="00132CF8" w:rsidR="00C82782">
        <w:t xml:space="preserve"> are: </w:t>
      </w:r>
    </w:p>
    <w:p w:rsidRPr="00132CF8" w:rsidR="00C82782" w:rsidP="002F0730" w:rsidRDefault="0032671C" w14:paraId="3811EC4E" w14:textId="4F6D6D22">
      <w:pPr>
        <w:pStyle w:val="ListParagraph"/>
        <w:ind w:left="426" w:hanging="426"/>
      </w:pPr>
      <w:r w:rsidRPr="00132CF8">
        <w:t>Investing and commissioning well</w:t>
      </w:r>
    </w:p>
    <w:p w:rsidRPr="00132CF8" w:rsidR="00C82782" w:rsidP="002F0730" w:rsidRDefault="0032671C" w14:paraId="22A33791" w14:textId="14C5FE84">
      <w:pPr>
        <w:pStyle w:val="ListParagraph"/>
        <w:ind w:left="426" w:hanging="426"/>
      </w:pPr>
      <w:r w:rsidRPr="00132CF8">
        <w:t>Keeping people safe</w:t>
      </w:r>
    </w:p>
    <w:p w:rsidRPr="00132CF8" w:rsidR="00C82782" w:rsidP="002F0730" w:rsidRDefault="0032671C" w14:paraId="5920B951" w14:textId="4A455B2B">
      <w:pPr>
        <w:pStyle w:val="ListParagraph"/>
        <w:ind w:left="426" w:hanging="426"/>
      </w:pPr>
      <w:r w:rsidRPr="00132CF8">
        <w:t>Stopping violence</w:t>
      </w:r>
    </w:p>
    <w:p w:rsidRPr="00132CF8" w:rsidR="0032671C" w:rsidP="002F0730" w:rsidRDefault="0032671C" w14:paraId="77D03CDE" w14:textId="76FEE435">
      <w:pPr>
        <w:pStyle w:val="ListParagraph"/>
        <w:ind w:left="426" w:hanging="426"/>
      </w:pPr>
      <w:r w:rsidRPr="00132CF8">
        <w:t>Protecting children and young people</w:t>
      </w:r>
    </w:p>
    <w:p w:rsidRPr="00132CF8" w:rsidR="0032671C" w:rsidP="002F0730" w:rsidRDefault="0032671C" w14:paraId="0ABC06F7" w14:textId="44C903D5">
      <w:pPr>
        <w:pStyle w:val="ListParagraph"/>
        <w:ind w:left="426" w:hanging="426"/>
      </w:pPr>
      <w:r w:rsidRPr="00132CF8">
        <w:t>Strengthening our workforce</w:t>
      </w:r>
    </w:p>
    <w:p w:rsidRPr="00132CF8" w:rsidR="0032671C" w:rsidP="002F0730" w:rsidRDefault="0032671C" w14:paraId="6A63DE03" w14:textId="1A81B2C7">
      <w:pPr>
        <w:pStyle w:val="ListParagraph"/>
        <w:ind w:left="426" w:hanging="426"/>
      </w:pPr>
      <w:r w:rsidRPr="00132CF8">
        <w:t>Taking action on sexual violence</w:t>
      </w:r>
    </w:p>
    <w:p w:rsidRPr="00132CF8" w:rsidR="0032671C" w:rsidP="002F0730" w:rsidRDefault="0032671C" w14:paraId="14490058" w14:textId="0E873034">
      <w:pPr>
        <w:pStyle w:val="ListParagraph"/>
        <w:ind w:left="426" w:hanging="426"/>
      </w:pPr>
      <w:r w:rsidRPr="00132CF8">
        <w:t>Preventing violence before it starts</w:t>
      </w:r>
    </w:p>
    <w:p w:rsidRPr="00132CF8" w:rsidR="00A746BE" w:rsidP="00264F8D" w:rsidRDefault="00223F98" w14:paraId="168D3D97" w14:textId="293BED15">
      <w:r w:rsidRPr="00132CF8">
        <w:t>To start with, Te Puna Aonui will focus on the first three focus areas in collaboration with its agencies.</w:t>
      </w:r>
    </w:p>
    <w:p w:rsidRPr="00132CF8" w:rsidR="00DF2323" w:rsidP="1BB0B583" w:rsidRDefault="00252B3E" w14:paraId="55FBA265" w14:textId="0F5FBECA">
      <w:pPr>
        <w:pStyle w:val="ListParagraph"/>
        <w:ind w:left="426" w:hanging="426"/>
        <w:rPr/>
      </w:pPr>
      <w:r w:rsidRPr="00A5281F" w:rsidR="00252B3E">
        <w:rPr/>
        <w:t>Investing</w:t>
      </w:r>
      <w:r w:rsidRPr="00132CF8" w:rsidR="00252B3E">
        <w:rPr/>
        <w:t xml:space="preserve"> and commissioning well</w:t>
      </w:r>
      <w:r w:rsidRPr="00132CF8" w:rsidR="00223F98">
        <w:rPr/>
        <w:t xml:space="preserve"> – </w:t>
      </w:r>
      <w:r w:rsidRPr="00132CF8" w:rsidR="004945A3">
        <w:rPr/>
        <w:t>a</w:t>
      </w:r>
      <w:r w:rsidRPr="00132CF8" w:rsidR="00DF2323">
        <w:rPr/>
        <w:t>dopting social investment to make evidence</w:t>
      </w:r>
      <w:r w:rsidRPr="00132CF8" w:rsidR="0F441DEE">
        <w:rPr/>
        <w:t>-</w:t>
      </w:r>
      <w:r w:rsidRPr="00132CF8" w:rsidR="004945A3">
        <w:noBreakHyphen/>
      </w:r>
      <w:r w:rsidRPr="00132CF8" w:rsidR="00DF2323">
        <w:rPr/>
        <w:t xml:space="preserve">informed decisions about when, </w:t>
      </w:r>
      <w:r w:rsidRPr="00132CF8" w:rsidR="00DF2323">
        <w:rPr/>
        <w:t>where</w:t>
      </w:r>
      <w:r w:rsidRPr="00132CF8" w:rsidR="00DF2323">
        <w:rPr/>
        <w:t xml:space="preserve"> and how to invest to improve</w:t>
      </w:r>
      <w:r w:rsidRPr="00132CF8" w:rsidR="00363E8C">
        <w:rPr/>
        <w:t xml:space="preserve"> people’s</w:t>
      </w:r>
      <w:r w:rsidRPr="00132CF8" w:rsidR="00DF2323">
        <w:rPr/>
        <w:t xml:space="preserve"> lives.</w:t>
      </w:r>
    </w:p>
    <w:p w:rsidRPr="00132CF8" w:rsidR="00710D50" w:rsidP="002F0730" w:rsidRDefault="00252B3E" w14:paraId="15CD6149" w14:textId="41CDDBB7">
      <w:pPr>
        <w:pStyle w:val="ListParagraph"/>
        <w:ind w:left="426" w:hanging="426"/>
      </w:pPr>
      <w:r w:rsidRPr="00132CF8">
        <w:t>Keeping people safe</w:t>
      </w:r>
      <w:r w:rsidRPr="00132CF8" w:rsidR="00223F98">
        <w:t xml:space="preserve"> – </w:t>
      </w:r>
      <w:r w:rsidRPr="00132CF8" w:rsidR="00D86763">
        <w:t>s</w:t>
      </w:r>
      <w:r w:rsidRPr="00132CF8" w:rsidR="00710D50">
        <w:t xml:space="preserve">trengthening </w:t>
      </w:r>
      <w:r w:rsidRPr="00132CF8" w:rsidR="00D86763">
        <w:t>how</w:t>
      </w:r>
      <w:r w:rsidRPr="00132CF8" w:rsidR="00710D50">
        <w:t xml:space="preserve"> agencies work with communities</w:t>
      </w:r>
      <w:r w:rsidRPr="00132CF8" w:rsidR="005D5EBF">
        <w:t xml:space="preserve">, </w:t>
      </w:r>
      <w:r w:rsidRPr="00132CF8" w:rsidR="00710D50">
        <w:t xml:space="preserve">focusing on </w:t>
      </w:r>
      <w:r w:rsidRPr="00132CF8" w:rsidR="009D61D8">
        <w:t xml:space="preserve">managing </w:t>
      </w:r>
      <w:r w:rsidRPr="00132CF8" w:rsidR="00710D50">
        <w:t>risk for those at greatest risk of serious injury and death</w:t>
      </w:r>
      <w:r w:rsidRPr="00132CF8" w:rsidR="007F6F7C">
        <w:t xml:space="preserve">, and </w:t>
      </w:r>
      <w:r w:rsidRPr="00132CF8" w:rsidR="00710D50">
        <w:t>prioritising children and young people.</w:t>
      </w:r>
    </w:p>
    <w:p w:rsidRPr="00132CF8" w:rsidR="009908A8" w:rsidP="002F0730" w:rsidRDefault="00252B3E" w14:paraId="53843FEB" w14:textId="10DFD06E">
      <w:pPr>
        <w:pStyle w:val="ListParagraph"/>
        <w:ind w:left="426" w:hanging="426"/>
      </w:pPr>
      <w:r w:rsidRPr="00132CF8">
        <w:t>Stopping violence</w:t>
      </w:r>
      <w:r w:rsidRPr="00132CF8" w:rsidR="00223F98">
        <w:t xml:space="preserve"> – </w:t>
      </w:r>
      <w:r w:rsidRPr="00132CF8" w:rsidR="005F77BD">
        <w:t>focusing</w:t>
      </w:r>
      <w:r w:rsidRPr="00132CF8" w:rsidR="009908A8">
        <w:t xml:space="preserve"> on people who use violence so we can stop behaviour that cause</w:t>
      </w:r>
      <w:r w:rsidRPr="00132CF8" w:rsidR="005F77BD">
        <w:t>s</w:t>
      </w:r>
      <w:r w:rsidRPr="00132CF8" w:rsidR="009908A8">
        <w:t xml:space="preserve"> harm </w:t>
      </w:r>
      <w:r w:rsidRPr="00132CF8" w:rsidR="005F77BD">
        <w:t>to</w:t>
      </w:r>
      <w:r w:rsidRPr="00132CF8" w:rsidR="009908A8">
        <w:t xml:space="preserve"> keep victims/survivors safe.</w:t>
      </w:r>
    </w:p>
    <w:p w:rsidRPr="00132CF8" w:rsidR="004620E6" w:rsidP="00264F8D" w:rsidRDefault="009B7DF3" w14:paraId="166C762C" w14:textId="38DB2C38">
      <w:r w:rsidRPr="00132CF8">
        <w:t>Agencies will continue to deliver services and make improvements in support of the remaining four focus areas</w:t>
      </w:r>
      <w:r w:rsidRPr="00132CF8" w:rsidR="003C4C60">
        <w:t>.</w:t>
      </w:r>
    </w:p>
    <w:p w:rsidR="00B54710" w:rsidRDefault="00B54710" w14:paraId="200390A1" w14:textId="77777777">
      <w:pPr>
        <w:rPr>
          <w:rFonts w:eastAsia="Times New Roman"/>
          <w:b/>
          <w:color w:val="293D8A"/>
          <w:kern w:val="0"/>
          <w:sz w:val="32"/>
          <w:szCs w:val="32"/>
          <w:lang w:eastAsia="ja-JP"/>
          <w14:ligatures w14:val="none"/>
        </w:rPr>
      </w:pPr>
      <w:r>
        <w:br w:type="page"/>
      </w:r>
    </w:p>
    <w:p w:rsidRPr="00132CF8" w:rsidR="001C00A5" w:rsidP="00264F8D" w:rsidRDefault="001C00A5" w14:paraId="6CCE47E2" w14:textId="715D3693">
      <w:pPr>
        <w:pStyle w:val="Heading1"/>
      </w:pPr>
      <w:r w:rsidRPr="00132CF8">
        <w:lastRenderedPageBreak/>
        <w:t>Population groups</w:t>
      </w:r>
    </w:p>
    <w:p w:rsidRPr="00132CF8" w:rsidR="001C00A5" w:rsidP="00264F8D" w:rsidRDefault="00D9379B" w14:paraId="4D8056DC" w14:textId="4A0843A8">
      <w:r w:rsidRPr="00132CF8">
        <w:t>We have identified eight main groups that are disproportionately affected by family violence and sexual violence. The voices and needs of these victims/survivors will be included in the implementation of this plan.</w:t>
      </w:r>
    </w:p>
    <w:p w:rsidRPr="00132CF8" w:rsidR="00DB2967" w:rsidP="009D58A3" w:rsidRDefault="000B5367" w14:paraId="663F544D" w14:textId="750FD625">
      <w:pPr>
        <w:pStyle w:val="ListParagraph"/>
        <w:numPr>
          <w:ilvl w:val="0"/>
          <w:numId w:val="32"/>
        </w:numPr>
      </w:pPr>
      <w:r w:rsidRPr="00132CF8">
        <w:rPr>
          <w:b/>
          <w:bCs/>
        </w:rPr>
        <w:t>Māori</w:t>
      </w:r>
      <w:r w:rsidRPr="00132CF8" w:rsidR="00DB2967">
        <w:rPr>
          <w:b/>
          <w:bCs/>
        </w:rPr>
        <w:t>:</w:t>
      </w:r>
      <w:r w:rsidRPr="00132CF8" w:rsidR="00DB2967">
        <w:t xml:space="preserve"> </w:t>
      </w:r>
      <w:r w:rsidRPr="00132CF8" w:rsidR="00FD1BDF">
        <w:t>49% of wāhine Māori experience physical or sexual intimate partner violence in their lifetime</w:t>
      </w:r>
      <w:r w:rsidRPr="00132CF8" w:rsidR="005719DB">
        <w:t xml:space="preserve"> (</w:t>
      </w:r>
      <w:r w:rsidRPr="00132CF8" w:rsidR="00FD1BDF">
        <w:t xml:space="preserve">compared with 31% </w:t>
      </w:r>
      <w:r w:rsidRPr="00132CF8" w:rsidR="000E4361">
        <w:t>across all</w:t>
      </w:r>
      <w:r w:rsidRPr="00132CF8" w:rsidR="00FD1BDF">
        <w:t xml:space="preserve"> women</w:t>
      </w:r>
      <w:r w:rsidRPr="00132CF8" w:rsidR="005719DB">
        <w:t>).</w:t>
      </w:r>
    </w:p>
    <w:p w:rsidRPr="00132CF8" w:rsidR="00525276" w:rsidP="009D58A3" w:rsidRDefault="00525276" w14:paraId="11E497D3" w14:textId="58D458AA">
      <w:pPr>
        <w:pStyle w:val="ListParagraph"/>
        <w:numPr>
          <w:ilvl w:val="0"/>
          <w:numId w:val="32"/>
        </w:numPr>
      </w:pPr>
      <w:r w:rsidRPr="00132CF8">
        <w:rPr>
          <w:b/>
          <w:bCs/>
        </w:rPr>
        <w:t>Pacific peoples:</w:t>
      </w:r>
      <w:r w:rsidRPr="00132CF8">
        <w:t xml:space="preserve"> </w:t>
      </w:r>
      <w:r w:rsidRPr="00132CF8" w:rsidR="00A449A2">
        <w:t>Pacific children are 4.8 times more likely to die from child abuse and neglect than children of other ethnicities.</w:t>
      </w:r>
    </w:p>
    <w:p w:rsidRPr="00132CF8" w:rsidR="00AD2047" w:rsidP="009D58A3" w:rsidRDefault="00AD2047" w14:paraId="1E787024" w14:textId="0742347F">
      <w:pPr>
        <w:pStyle w:val="ListParagraph"/>
        <w:numPr>
          <w:ilvl w:val="0"/>
          <w:numId w:val="32"/>
        </w:numPr>
      </w:pPr>
      <w:r w:rsidRPr="00132CF8">
        <w:rPr>
          <w:b/>
          <w:bCs/>
        </w:rPr>
        <w:t>Women:</w:t>
      </w:r>
      <w:r w:rsidRPr="00132CF8">
        <w:t xml:space="preserve"> 74% of people killed by their partners between 2007 and 2021 were women.</w:t>
      </w:r>
    </w:p>
    <w:p w:rsidRPr="00132CF8" w:rsidR="00525276" w:rsidP="009D58A3" w:rsidRDefault="00525276" w14:paraId="61546EF3" w14:textId="54ED722E">
      <w:pPr>
        <w:pStyle w:val="ListParagraph"/>
        <w:numPr>
          <w:ilvl w:val="0"/>
          <w:numId w:val="32"/>
        </w:numPr>
      </w:pPr>
      <w:r w:rsidRPr="00132CF8">
        <w:rPr>
          <w:b/>
          <w:bCs/>
        </w:rPr>
        <w:t>Children and young people:</w:t>
      </w:r>
      <w:r w:rsidRPr="00132CF8">
        <w:t xml:space="preserve"> 1 in 10 children and young people aged 12-18 were physically hurt by adults at their home in the past year; 56% of victims of sexual assault are aged 15-29. </w:t>
      </w:r>
    </w:p>
    <w:p w:rsidRPr="00132CF8" w:rsidR="00525276" w:rsidP="009D58A3" w:rsidRDefault="00525276" w14:paraId="50689C5C" w14:textId="77A8596A">
      <w:pPr>
        <w:pStyle w:val="ListParagraph"/>
        <w:numPr>
          <w:ilvl w:val="0"/>
          <w:numId w:val="32"/>
        </w:numPr>
      </w:pPr>
      <w:r w:rsidRPr="00132CF8">
        <w:rPr>
          <w:b/>
          <w:bCs/>
        </w:rPr>
        <w:t>Disabled people:</w:t>
      </w:r>
      <w:r w:rsidRPr="00132CF8">
        <w:t xml:space="preserve"> </w:t>
      </w:r>
      <w:r w:rsidRPr="00132CF8" w:rsidR="008D22B7">
        <w:t>18% of disabled young people have experienced violence at home in the past year; 44% of disabled people have experienced sexual assault.</w:t>
      </w:r>
    </w:p>
    <w:p w:rsidRPr="00132CF8" w:rsidR="00170523" w:rsidP="009D58A3" w:rsidRDefault="00170523" w14:paraId="71BF4E90" w14:textId="42FF906D">
      <w:pPr>
        <w:pStyle w:val="ListParagraph"/>
        <w:numPr>
          <w:ilvl w:val="0"/>
          <w:numId w:val="32"/>
        </w:numPr>
      </w:pPr>
      <w:r w:rsidRPr="00132CF8">
        <w:rPr>
          <w:b/>
          <w:bCs/>
        </w:rPr>
        <w:t>LGBTQIA+:</w:t>
      </w:r>
      <w:r w:rsidRPr="00132CF8">
        <w:t xml:space="preserve"> 45% of LGBTQIA+ people have experienced sexual assault.</w:t>
      </w:r>
    </w:p>
    <w:p w:rsidRPr="00132CF8" w:rsidR="00170523" w:rsidP="009D58A3" w:rsidRDefault="00170523" w14:paraId="6244471E" w14:textId="2BF56011">
      <w:pPr>
        <w:pStyle w:val="ListParagraph"/>
        <w:numPr>
          <w:ilvl w:val="0"/>
          <w:numId w:val="32"/>
        </w:numPr>
      </w:pPr>
      <w:r w:rsidRPr="00132CF8">
        <w:t>Ethnic communities:</w:t>
      </w:r>
      <w:r w:rsidRPr="00132CF8" w:rsidR="00463DAE">
        <w:rPr>
          <w:rFonts w:eastAsia="Calibri"/>
          <w:color w:val="727272"/>
          <w14:ligatures w14:val="none"/>
        </w:rPr>
        <w:t xml:space="preserve"> </w:t>
      </w:r>
      <w:r w:rsidRPr="00132CF8" w:rsidR="00463DAE">
        <w:t xml:space="preserve">17% of people in ethnic communities experienced controlling behaviours by a family member in the past year. </w:t>
      </w:r>
    </w:p>
    <w:p w:rsidRPr="00132CF8" w:rsidR="00C641BA" w:rsidP="009D58A3" w:rsidRDefault="00E64C8F" w14:paraId="12205F5D" w14:textId="4400AE94">
      <w:pPr>
        <w:pStyle w:val="ListParagraph"/>
        <w:numPr>
          <w:ilvl w:val="0"/>
          <w:numId w:val="32"/>
        </w:numPr>
      </w:pPr>
      <w:r w:rsidRPr="00132CF8">
        <w:rPr>
          <w:b/>
          <w:bCs/>
        </w:rPr>
        <w:t xml:space="preserve">Older people: </w:t>
      </w:r>
      <w:r w:rsidRPr="00132CF8" w:rsidR="003E3177">
        <w:t xml:space="preserve">As many as </w:t>
      </w:r>
      <w:r w:rsidRPr="00132CF8" w:rsidR="001871A4">
        <w:t>1 in 10 older people in New Zealand will experience some kind of elder abuse.</w:t>
      </w:r>
    </w:p>
    <w:p w:rsidR="008A476B" w:rsidRDefault="008A476B" w14:paraId="01546251" w14:textId="77777777">
      <w:pPr>
        <w:rPr>
          <w:rFonts w:eastAsia="Times New Roman"/>
          <w:b/>
          <w:color w:val="293D8A"/>
          <w:kern w:val="0"/>
          <w:sz w:val="32"/>
          <w:szCs w:val="32"/>
          <w:lang w:eastAsia="ja-JP"/>
          <w14:ligatures w14:val="none"/>
        </w:rPr>
      </w:pPr>
      <w:r>
        <w:br w:type="page"/>
      </w:r>
    </w:p>
    <w:p w:rsidRPr="00132CF8" w:rsidR="0060323F" w:rsidP="00264F8D" w:rsidRDefault="004727C1" w14:paraId="6AD535DA" w14:textId="4DA3006E">
      <w:pPr>
        <w:pStyle w:val="Heading1"/>
      </w:pPr>
      <w:r w:rsidRPr="00132CF8">
        <w:lastRenderedPageBreak/>
        <w:t>Working together with iwi, Māori and communities</w:t>
      </w:r>
    </w:p>
    <w:p w:rsidRPr="00132CF8" w:rsidR="00F1131D" w:rsidP="00264F8D" w:rsidRDefault="0060323F" w14:paraId="704FDD6D" w14:textId="0D833FE2">
      <w:r w:rsidR="0060323F">
        <w:rPr/>
        <w:t xml:space="preserve">Māori are disproportionately affected by </w:t>
      </w:r>
      <w:r w:rsidR="008E1839">
        <w:rPr/>
        <w:t xml:space="preserve">all forms of </w:t>
      </w:r>
      <w:r w:rsidR="0060323F">
        <w:rPr/>
        <w:t>violence</w:t>
      </w:r>
      <w:r w:rsidR="149B6781">
        <w:rPr/>
        <w:t>,</w:t>
      </w:r>
      <w:r w:rsidR="0060323F">
        <w:rPr/>
        <w:t xml:space="preserve"> and we will be partnering with iwi, hapū and hapori (Māori communities) to implement this </w:t>
      </w:r>
      <w:r w:rsidR="00AD3B35">
        <w:rPr/>
        <w:t>Action P</w:t>
      </w:r>
      <w:r w:rsidR="0060323F">
        <w:rPr/>
        <w:t xml:space="preserve">lan. </w:t>
      </w:r>
      <w:r w:rsidR="00F1131D">
        <w:rPr/>
        <w:t>This involve</w:t>
      </w:r>
      <w:r w:rsidR="00AD3B35">
        <w:rPr/>
        <w:t xml:space="preserve">s </w:t>
      </w:r>
      <w:r w:rsidR="00F1131D">
        <w:rPr/>
        <w:t>working together to understand system barriers and to build local and regional responses for whānau.</w:t>
      </w:r>
    </w:p>
    <w:p w:rsidR="008A476B" w:rsidRDefault="0080411D" w14:paraId="19465793" w14:textId="058662BB">
      <w:pPr>
        <w:rPr>
          <w:rFonts w:eastAsia="Times New Roman"/>
          <w:b/>
          <w:color w:val="293D8A"/>
          <w:kern w:val="0"/>
          <w:sz w:val="32"/>
          <w:szCs w:val="32"/>
          <w:lang w:eastAsia="ja-JP"/>
          <w14:ligatures w14:val="none"/>
        </w:rPr>
      </w:pPr>
      <w:r w:rsidRPr="00132CF8">
        <w:t>We will</w:t>
      </w:r>
      <w:r w:rsidRPr="00132CF8" w:rsidR="00043093">
        <w:t xml:space="preserve"> </w:t>
      </w:r>
      <w:r w:rsidRPr="00132CF8">
        <w:t xml:space="preserve">engage with purpose; incorporate </w:t>
      </w:r>
      <w:r w:rsidRPr="00132CF8" w:rsidR="00C95B08">
        <w:t xml:space="preserve">whānau </w:t>
      </w:r>
      <w:r w:rsidRPr="00132CF8">
        <w:t>and community voice</w:t>
      </w:r>
      <w:r w:rsidRPr="00132CF8" w:rsidR="00043093">
        <w:t>s</w:t>
      </w:r>
      <w:r w:rsidRPr="00132CF8">
        <w:t xml:space="preserve"> into design and delivery; address </w:t>
      </w:r>
      <w:r w:rsidRPr="00132CF8" w:rsidR="00043093">
        <w:t xml:space="preserve">system </w:t>
      </w:r>
      <w:r w:rsidRPr="00132CF8">
        <w:t xml:space="preserve">barriers; and provide </w:t>
      </w:r>
      <w:r w:rsidRPr="00132CF8" w:rsidR="00FD18A9">
        <w:t>clarity to communities and the sector about what the government will focus on</w:t>
      </w:r>
      <w:r w:rsidRPr="00132CF8">
        <w:t xml:space="preserve">. </w:t>
      </w:r>
    </w:p>
    <w:p w:rsidRPr="008F2B26" w:rsidR="004765CC" w:rsidP="004765CC" w:rsidRDefault="004F0425" w14:paraId="5C185DF7" w14:textId="08333B6A">
      <w:pPr>
        <w:pStyle w:val="Heading1"/>
      </w:pPr>
      <w:r w:rsidRPr="004F0425">
        <w:t xml:space="preserve">Te Aorerekura – </w:t>
      </w:r>
      <w:r w:rsidRPr="008F2B26" w:rsidR="004765CC">
        <w:t>National Strategy six system shifts</w:t>
      </w:r>
    </w:p>
    <w:p w:rsidRPr="00132CF8" w:rsidR="004765CC" w:rsidP="004765CC" w:rsidRDefault="004765CC" w14:paraId="2DD9B2A2" w14:textId="77777777">
      <w:pPr>
        <w:pStyle w:val="ListParagraph"/>
        <w:numPr>
          <w:ilvl w:val="0"/>
          <w:numId w:val="26"/>
        </w:numPr>
        <w:ind w:left="426" w:hanging="426"/>
      </w:pPr>
      <w:r w:rsidRPr="00132CF8">
        <w:t>Shift One (S1): Towards strength</w:t>
      </w:r>
      <w:r>
        <w:t>-</w:t>
      </w:r>
      <w:r w:rsidRPr="00132CF8">
        <w:t xml:space="preserve">based wellbeing </w:t>
      </w:r>
    </w:p>
    <w:p w:rsidRPr="00132CF8" w:rsidR="004765CC" w:rsidP="004765CC" w:rsidRDefault="004765CC" w14:paraId="13A6CBE4" w14:textId="77777777">
      <w:pPr>
        <w:pStyle w:val="ListParagraph"/>
        <w:ind w:left="426" w:hanging="426"/>
      </w:pPr>
      <w:r w:rsidRPr="00132CF8">
        <w:t xml:space="preserve">Shift Two (S2): Towards mobilising communities </w:t>
      </w:r>
    </w:p>
    <w:p w:rsidRPr="00132CF8" w:rsidR="004765CC" w:rsidP="004765CC" w:rsidRDefault="004765CC" w14:paraId="00E8B7E8" w14:textId="77777777">
      <w:pPr>
        <w:pStyle w:val="ListParagraph"/>
        <w:ind w:left="426" w:hanging="426"/>
      </w:pPr>
      <w:r w:rsidRPr="00132CF8">
        <w:t xml:space="preserve">Shift Three (S3): Towards skilled, culturally competent and sustainable workforces </w:t>
      </w:r>
    </w:p>
    <w:p w:rsidRPr="00132CF8" w:rsidR="004765CC" w:rsidP="004765CC" w:rsidRDefault="004765CC" w14:paraId="7AE3FD18" w14:textId="77777777">
      <w:pPr>
        <w:pStyle w:val="ListParagraph"/>
        <w:ind w:left="426" w:hanging="426"/>
      </w:pPr>
      <w:r w:rsidRPr="00132CF8">
        <w:t xml:space="preserve">Shift Four (S4): Towards investment in primary prevention </w:t>
      </w:r>
    </w:p>
    <w:p w:rsidRPr="00132CF8" w:rsidR="004765CC" w:rsidP="004765CC" w:rsidRDefault="004765CC" w14:paraId="17717C4E" w14:textId="77777777">
      <w:pPr>
        <w:pStyle w:val="ListParagraph"/>
        <w:ind w:left="426" w:hanging="426"/>
      </w:pPr>
      <w:r w:rsidRPr="00132CF8">
        <w:t xml:space="preserve">Shift Five (S5): Towards safe, accessible and integrated responses </w:t>
      </w:r>
    </w:p>
    <w:p w:rsidRPr="00132CF8" w:rsidR="004765CC" w:rsidP="004765CC" w:rsidRDefault="004765CC" w14:paraId="77BA81A4" w14:textId="77777777">
      <w:pPr>
        <w:pStyle w:val="ListParagraph"/>
        <w:ind w:left="426" w:hanging="426"/>
      </w:pPr>
      <w:r w:rsidRPr="00132CF8">
        <w:t>Shift Six (S6): Towards increased capacity for healing</w:t>
      </w:r>
    </w:p>
    <w:p w:rsidR="002168AE" w:rsidRDefault="002168AE" w14:paraId="3145DD48" w14:textId="77777777">
      <w:pPr>
        <w:rPr>
          <w:rFonts w:eastAsia="Times New Roman"/>
          <w:b/>
          <w:color w:val="293D8A"/>
          <w:kern w:val="0"/>
          <w:sz w:val="32"/>
          <w:szCs w:val="32"/>
          <w:lang w:eastAsia="ja-JP"/>
          <w14:ligatures w14:val="none"/>
        </w:rPr>
      </w:pPr>
      <w:r>
        <w:br w:type="page"/>
      </w:r>
    </w:p>
    <w:p w:rsidRPr="00132CF8" w:rsidR="00043093" w:rsidP="00264F8D" w:rsidRDefault="00B82180" w14:paraId="2D7708CB" w14:textId="0F86610D">
      <w:pPr>
        <w:pStyle w:val="Heading1"/>
      </w:pPr>
      <w:r w:rsidRPr="00132CF8">
        <w:lastRenderedPageBreak/>
        <w:t>Focus area 1: Investing and commissioning well</w:t>
      </w:r>
    </w:p>
    <w:p w:rsidRPr="002168AE" w:rsidR="00AC227F" w:rsidP="002168AE" w:rsidRDefault="00A61E34" w14:paraId="436F34D2" w14:textId="5BB30561">
      <w:pPr>
        <w:pStyle w:val="Heading4"/>
      </w:pPr>
      <w:r w:rsidRPr="002168AE">
        <w:t>S</w:t>
      </w:r>
      <w:r w:rsidRPr="002168AE" w:rsidR="001C2094">
        <w:t xml:space="preserve">upports </w:t>
      </w:r>
      <w:r w:rsidR="006662C7">
        <w:t>S</w:t>
      </w:r>
      <w:r w:rsidRPr="002168AE" w:rsidR="00AC227F">
        <w:t>hift 1</w:t>
      </w:r>
      <w:r w:rsidRPr="002168AE" w:rsidR="002168AE">
        <w:t>: Towards strength-based wellbeing</w:t>
      </w:r>
    </w:p>
    <w:p w:rsidRPr="00132CF8" w:rsidR="00B82180" w:rsidP="00264F8D" w:rsidRDefault="00A606D0" w14:paraId="1BD72003" w14:textId="7500CB5B">
      <w:r w:rsidRPr="00132CF8">
        <w:t>People affected by violence need access to a range of services to meet their needs and be safe, recover and heal from violence. The government spends $1.3 billion each year on family violence and sexual violence services and initiatives. We need to be sure these services and initiatives are the best ones.</w:t>
      </w:r>
    </w:p>
    <w:p w:rsidRPr="00132CF8" w:rsidR="00607148" w:rsidP="00264F8D" w:rsidRDefault="00607148" w14:paraId="4B828B3E" w14:textId="7F9FA4F1">
      <w:r w:rsidRPr="00132CF8">
        <w:t>A social investment approach will be used to review what we are delivering, identify what needs to change, and ensure people get the right support for their needs</w:t>
      </w:r>
      <w:r w:rsidRPr="00132CF8" w:rsidR="00BF5F0D">
        <w:t>.</w:t>
      </w:r>
      <w:r w:rsidRPr="00132CF8" w:rsidR="007E6F4D">
        <w:t xml:space="preserve"> This will happen in two ways: </w:t>
      </w:r>
    </w:p>
    <w:p w:rsidRPr="00132CF8" w:rsidR="00BF5F0D" w:rsidP="00A5281F" w:rsidRDefault="001E26BC" w14:paraId="228AAFBA" w14:textId="164F382C">
      <w:pPr>
        <w:pStyle w:val="ListParagraph"/>
        <w:numPr>
          <w:ilvl w:val="0"/>
          <w:numId w:val="12"/>
        </w:numPr>
      </w:pPr>
      <w:r w:rsidRPr="00132CF8">
        <w:rPr>
          <w:b/>
          <w:bCs/>
        </w:rPr>
        <w:t>Investment reprioritisation</w:t>
      </w:r>
      <w:r w:rsidRPr="00132CF8" w:rsidR="00AB024C">
        <w:t>, which</w:t>
      </w:r>
      <w:r w:rsidRPr="00132CF8">
        <w:t xml:space="preserve"> involves reviewing family violence and sexual violence spend. Phase 1 </w:t>
      </w:r>
      <w:r w:rsidRPr="00132CF8" w:rsidR="000E2E59">
        <w:t xml:space="preserve">(May 2025) </w:t>
      </w:r>
      <w:r w:rsidRPr="00132CF8">
        <w:t xml:space="preserve">reviews collectively appropriated </w:t>
      </w:r>
      <w:r w:rsidRPr="00132CF8" w:rsidR="00234B19">
        <w:t>family violence and sexual violence funding from 2018</w:t>
      </w:r>
      <w:r w:rsidRPr="00132CF8" w:rsidR="000E2E59">
        <w:noBreakHyphen/>
      </w:r>
      <w:r w:rsidRPr="00132CF8" w:rsidR="00234B19">
        <w:t xml:space="preserve">2023. </w:t>
      </w:r>
      <w:r w:rsidRPr="00132CF8" w:rsidR="000E2E59">
        <w:t>Phase 2</w:t>
      </w:r>
      <w:r w:rsidRPr="00132CF8" w:rsidR="00856C6A">
        <w:t xml:space="preserve"> </w:t>
      </w:r>
      <w:r w:rsidRPr="00132CF8" w:rsidR="000E2E59">
        <w:t>(May 2026) will review investment across the family violence and sexual violence portfolio, including baselines. This will be followed by annual updates.</w:t>
      </w:r>
    </w:p>
    <w:p w:rsidRPr="00132CF8" w:rsidR="00AB024C" w:rsidP="00A5281F" w:rsidRDefault="00AB024C" w14:paraId="6AEF186F" w14:textId="1C7BE000">
      <w:pPr>
        <w:pStyle w:val="ListParagraph"/>
        <w:numPr>
          <w:ilvl w:val="0"/>
          <w:numId w:val="12"/>
        </w:numPr>
      </w:pPr>
      <w:r w:rsidRPr="00132CF8">
        <w:rPr>
          <w:b/>
          <w:bCs/>
        </w:rPr>
        <w:t>Contracting differently for better outcomes</w:t>
      </w:r>
      <w:r w:rsidRPr="00132CF8">
        <w:t>, which means finding opportunities to apply social sector commissioning principles</w:t>
      </w:r>
      <w:r w:rsidRPr="00132CF8" w:rsidR="00486CCC">
        <w:t xml:space="preserve">. </w:t>
      </w:r>
      <w:r w:rsidRPr="00132CF8" w:rsidR="00224F3A">
        <w:t xml:space="preserve">By December 2025, </w:t>
      </w:r>
      <w:r w:rsidRPr="00132CF8" w:rsidR="00CD1921">
        <w:t xml:space="preserve">we will review alignment opportunities and pilot an outcomes-based contract in one location with one provider. By July </w:t>
      </w:r>
      <w:r w:rsidRPr="00132CF8" w:rsidR="00486CCC">
        <w:t xml:space="preserve">2026, we will have implemented aligned contract reporting. </w:t>
      </w:r>
    </w:p>
    <w:p w:rsidR="008A476B" w:rsidRDefault="008A476B" w14:paraId="51F20B29" w14:textId="77777777">
      <w:pPr>
        <w:rPr>
          <w:rFonts w:eastAsia="Times New Roman"/>
          <w:b/>
          <w:color w:val="293D8A"/>
          <w:kern w:val="0"/>
          <w:sz w:val="32"/>
          <w:szCs w:val="32"/>
          <w:lang w:eastAsia="ja-JP"/>
          <w14:ligatures w14:val="none"/>
        </w:rPr>
      </w:pPr>
      <w:r>
        <w:br w:type="page"/>
      </w:r>
    </w:p>
    <w:p w:rsidRPr="00132CF8" w:rsidR="00486CCC" w:rsidP="00264F8D" w:rsidRDefault="00486CCC" w14:paraId="42A9243A" w14:textId="3EBF74D6">
      <w:pPr>
        <w:pStyle w:val="Heading1"/>
      </w:pPr>
      <w:r w:rsidRPr="00132CF8">
        <w:lastRenderedPageBreak/>
        <w:t>Focus area 2: Keeping people safe</w:t>
      </w:r>
    </w:p>
    <w:p w:rsidRPr="00833F27" w:rsidR="008B3164" w:rsidP="002168AE" w:rsidRDefault="008B3164" w14:paraId="7A921E91" w14:textId="5F310780">
      <w:pPr>
        <w:pStyle w:val="Heading4"/>
      </w:pPr>
      <w:r w:rsidRPr="00833F27">
        <w:t xml:space="preserve">Supports </w:t>
      </w:r>
      <w:r w:rsidR="006662C7">
        <w:t>S</w:t>
      </w:r>
      <w:r w:rsidRPr="00833F27">
        <w:t>hift</w:t>
      </w:r>
      <w:r w:rsidRPr="00833F27" w:rsidR="005626AC">
        <w:t xml:space="preserve"> 2</w:t>
      </w:r>
      <w:r w:rsidR="00C80CC3">
        <w:t>:</w:t>
      </w:r>
      <w:r w:rsidRPr="00C80CC3" w:rsidR="00C80CC3">
        <w:rPr>
          <w:rFonts w:asciiTheme="minorHAnsi" w:hAnsiTheme="minorHAnsi" w:cstheme="minorBidi"/>
          <w:i w:val="0"/>
          <w:iCs w:val="0"/>
          <w:kern w:val="2"/>
          <w:sz w:val="22"/>
          <w:szCs w:val="22"/>
        </w:rPr>
        <w:t xml:space="preserve"> </w:t>
      </w:r>
      <w:r w:rsidRPr="00C12FC3" w:rsidR="00154764">
        <w:t>Towards mobilising communities</w:t>
      </w:r>
      <w:r w:rsidRPr="00833F27" w:rsidR="005626AC">
        <w:t xml:space="preserve"> and </w:t>
      </w:r>
      <w:r w:rsidR="00C80CC3">
        <w:t xml:space="preserve">Shift </w:t>
      </w:r>
      <w:r w:rsidRPr="00833F27" w:rsidR="005626AC">
        <w:t>5</w:t>
      </w:r>
      <w:r w:rsidR="00C80CC3">
        <w:t>:</w:t>
      </w:r>
      <w:r w:rsidRPr="00DB2FFD" w:rsidR="00DB2FFD">
        <w:rPr>
          <w:rFonts w:asciiTheme="minorHAnsi" w:hAnsiTheme="minorHAnsi" w:cstheme="minorBidi"/>
          <w:i w:val="0"/>
          <w:iCs w:val="0"/>
          <w:kern w:val="2"/>
          <w:sz w:val="22"/>
          <w:szCs w:val="22"/>
        </w:rPr>
        <w:t xml:space="preserve"> </w:t>
      </w:r>
      <w:r w:rsidRPr="00C12FC3" w:rsidR="00154764">
        <w:t>Towards safe, accessible and integrated responses</w:t>
      </w:r>
    </w:p>
    <w:p w:rsidRPr="00132CF8" w:rsidR="00C524D9" w:rsidP="00264F8D" w:rsidRDefault="00185B70" w14:paraId="688D04C3" w14:textId="46BF5AB4">
      <w:r w:rsidRPr="00132CF8">
        <w:t>Over the next two years, and in partnership with local organisations and iwi, we will focus on improving multi-agency responses for people who are at high risk and those with complex needs who experience or use violence.</w:t>
      </w:r>
    </w:p>
    <w:p w:rsidRPr="00132CF8" w:rsidR="00486CCC" w:rsidP="00264F8D" w:rsidRDefault="009603FA" w14:paraId="46ADBE77" w14:textId="658F9599">
      <w:r w:rsidRPr="00132CF8">
        <w:t xml:space="preserve">There are four interconnected </w:t>
      </w:r>
      <w:r w:rsidRPr="00132CF8" w:rsidR="00AE3A7E">
        <w:t>components to our</w:t>
      </w:r>
      <w:r w:rsidRPr="00132CF8">
        <w:t xml:space="preserve"> work to strengthen multi-agency responses</w:t>
      </w:r>
      <w:r w:rsidRPr="00132CF8" w:rsidR="00607DE1">
        <w:t>. These in</w:t>
      </w:r>
      <w:r w:rsidRPr="00132CF8">
        <w:t>form what we will do and the activities we will undertake</w:t>
      </w:r>
      <w:r w:rsidRPr="00132CF8" w:rsidR="00607DE1">
        <w:t>:</w:t>
      </w:r>
    </w:p>
    <w:p w:rsidRPr="00132CF8" w:rsidR="00607DE1" w:rsidP="00B05C0C" w:rsidRDefault="00C524D9" w14:paraId="5C0AFB82" w14:textId="4997FB47">
      <w:pPr>
        <w:pStyle w:val="Heading2"/>
      </w:pPr>
      <w:r w:rsidRPr="00132CF8">
        <w:t>Strong governance, leadership and ways of working</w:t>
      </w:r>
    </w:p>
    <w:p w:rsidRPr="00132CF8" w:rsidR="001F0A5E" w:rsidP="1BB0B583" w:rsidRDefault="00856E73" w14:paraId="350CF602" w14:textId="2F017498">
      <w:pPr>
        <w:pStyle w:val="ListParagraph"/>
        <w:rPr/>
      </w:pPr>
      <w:r w:rsidR="00856E73">
        <w:rPr/>
        <w:t>T</w:t>
      </w:r>
      <w:r w:rsidR="0009153B">
        <w:rPr/>
        <w:t xml:space="preserve">here are strong examples of good practice in some </w:t>
      </w:r>
      <w:r w:rsidR="0009153B">
        <w:rPr/>
        <w:t>regions</w:t>
      </w:r>
      <w:r w:rsidR="1D0E1B07">
        <w:rPr/>
        <w:t>,</w:t>
      </w:r>
      <w:r w:rsidR="00856E73">
        <w:rPr/>
        <w:t xml:space="preserve"> but</w:t>
      </w:r>
      <w:r w:rsidR="0009153B">
        <w:rPr/>
        <w:t xml:space="preserve"> this is inconsistent and there are opportunities to strengthen governance, </w:t>
      </w:r>
      <w:r w:rsidR="0009153B">
        <w:rPr/>
        <w:t>leadership</w:t>
      </w:r>
      <w:r w:rsidR="0009153B">
        <w:rPr/>
        <w:t xml:space="preserve"> and ways of working. </w:t>
      </w:r>
    </w:p>
    <w:p w:rsidRPr="00132CF8" w:rsidR="00BD7F47" w:rsidP="00A5281F" w:rsidRDefault="0009153B" w14:paraId="1892F866" w14:textId="6ECC257B">
      <w:pPr>
        <w:pStyle w:val="ListParagraph"/>
        <w:numPr>
          <w:ilvl w:val="2"/>
          <w:numId w:val="13"/>
        </w:numPr>
      </w:pPr>
      <w:r w:rsidRPr="00132CF8">
        <w:t>We will initially focus</w:t>
      </w:r>
      <w:r w:rsidRPr="00132CF8" w:rsidR="00BD0B6D">
        <w:t xml:space="preserve"> </w:t>
      </w:r>
      <w:r w:rsidRPr="00132CF8">
        <w:t>on six regions</w:t>
      </w:r>
      <w:r w:rsidRPr="00132CF8" w:rsidR="00130714">
        <w:rPr>
          <w:rStyle w:val="FootnoteReference"/>
          <w:szCs w:val="24"/>
        </w:rPr>
        <w:footnoteReference w:id="1"/>
      </w:r>
      <w:r w:rsidRPr="00132CF8">
        <w:t xml:space="preserve"> and 12 localities</w:t>
      </w:r>
      <w:r w:rsidRPr="00132CF8" w:rsidR="007F4F10">
        <w:rPr>
          <w:rStyle w:val="FootnoteReference"/>
          <w:szCs w:val="24"/>
        </w:rPr>
        <w:footnoteReference w:id="2"/>
      </w:r>
      <w:r w:rsidRPr="00132CF8">
        <w:t xml:space="preserve"> </w:t>
      </w:r>
      <w:r w:rsidRPr="00132CF8" w:rsidR="00130714">
        <w:t>to</w:t>
      </w:r>
      <w:r w:rsidRPr="00132CF8">
        <w:t xml:space="preserve"> work together with iwi and communities</w:t>
      </w:r>
      <w:r w:rsidRPr="00132CF8" w:rsidR="00130714">
        <w:t>. W</w:t>
      </w:r>
      <w:r w:rsidRPr="00132CF8">
        <w:t>e will co-design local approaches to develop Local System Improvement Plans</w:t>
      </w:r>
      <w:r w:rsidRPr="00132CF8" w:rsidR="00130714">
        <w:t>.</w:t>
      </w:r>
      <w:r w:rsidRPr="00132CF8">
        <w:t xml:space="preserve"> Lessons will be shared nationally to support the maturity and development of other regions</w:t>
      </w:r>
      <w:r w:rsidRPr="00132CF8" w:rsidR="00130714">
        <w:t>.</w:t>
      </w:r>
    </w:p>
    <w:p w:rsidRPr="00132CF8" w:rsidR="00F734AB" w:rsidP="00A5281F" w:rsidRDefault="00327A7A" w14:paraId="72A4FF46" w14:textId="7F139A18">
      <w:pPr>
        <w:pStyle w:val="ListParagraph"/>
        <w:numPr>
          <w:ilvl w:val="2"/>
          <w:numId w:val="13"/>
        </w:numPr>
      </w:pPr>
      <w:r w:rsidRPr="00132CF8">
        <w:t>Phase 1 (</w:t>
      </w:r>
      <w:r w:rsidRPr="00132CF8" w:rsidR="00F734AB">
        <w:t>April 2025</w:t>
      </w:r>
      <w:r w:rsidRPr="00132CF8">
        <w:t>) will focus on Auckland City, Rotorua and Canterbury. Phase 2 (July 2025) will focus on five more localities. Phase 3 (</w:t>
      </w:r>
      <w:r w:rsidRPr="00132CF8" w:rsidR="00E17E88">
        <w:t xml:space="preserve">December 2025) will focus on four localities). </w:t>
      </w:r>
    </w:p>
    <w:p w:rsidRPr="00132CF8" w:rsidR="00C524D9" w:rsidP="00B05C0C" w:rsidRDefault="00C524D9" w14:paraId="43AD36CB" w14:textId="20B18214">
      <w:pPr>
        <w:pStyle w:val="Heading2"/>
      </w:pPr>
      <w:r w:rsidRPr="00132CF8">
        <w:t>Delivering joined-up approaches for planning, resources and services</w:t>
      </w:r>
    </w:p>
    <w:p w:rsidRPr="00132CF8" w:rsidR="004C3232" w:rsidP="00A5281F" w:rsidRDefault="004C3232" w14:paraId="62129B92" w14:textId="77777777">
      <w:pPr>
        <w:pStyle w:val="ListParagraph"/>
        <w:numPr>
          <w:ilvl w:val="2"/>
          <w:numId w:val="13"/>
        </w:numPr>
      </w:pPr>
      <w:r w:rsidRPr="00132CF8">
        <w:t xml:space="preserve">This means improving coordination between multi-agency responses for family violence with responses for youth offenders. </w:t>
      </w:r>
    </w:p>
    <w:p w:rsidRPr="00132CF8" w:rsidR="00A16FF3" w:rsidP="00A5281F" w:rsidRDefault="001B0060" w14:paraId="5D6E3E01" w14:textId="15022CEB">
      <w:pPr>
        <w:pStyle w:val="ListParagraph"/>
        <w:numPr>
          <w:ilvl w:val="2"/>
          <w:numId w:val="13"/>
        </w:numPr>
      </w:pPr>
      <w:r w:rsidRPr="00132CF8">
        <w:t>Initially we will focus on three localities</w:t>
      </w:r>
      <w:r w:rsidRPr="008B0D84">
        <w:footnoteReference w:id="3"/>
      </w:r>
      <w:r w:rsidRPr="00132CF8">
        <w:t xml:space="preserve"> in three regions</w:t>
      </w:r>
      <w:r w:rsidRPr="008B0D84">
        <w:footnoteReference w:id="4"/>
      </w:r>
      <w:r w:rsidRPr="00132CF8">
        <w:t xml:space="preserve"> where Fast Track Youth Offending Support Teams are operating. </w:t>
      </w:r>
      <w:r w:rsidRPr="00132CF8" w:rsidR="00A16FF3">
        <w:t xml:space="preserve">By July 2025, we will have identified alignment opportunities in these </w:t>
      </w:r>
      <w:r w:rsidRPr="00132CF8" w:rsidR="009D1115">
        <w:t>l</w:t>
      </w:r>
      <w:r w:rsidRPr="00132CF8" w:rsidR="00A16FF3">
        <w:t xml:space="preserve">ocations. </w:t>
      </w:r>
    </w:p>
    <w:p w:rsidRPr="00132CF8" w:rsidR="00A16FF3" w:rsidP="00A5281F" w:rsidRDefault="00A16FF3" w14:paraId="60BB04C7" w14:textId="7DE8462B">
      <w:pPr>
        <w:pStyle w:val="ListParagraph"/>
        <w:numPr>
          <w:ilvl w:val="2"/>
          <w:numId w:val="13"/>
        </w:numPr>
      </w:pPr>
      <w:r w:rsidRPr="00132CF8">
        <w:t xml:space="preserve">By July 2026, we will have implemented these changes. By December 2026, we will have identified the next regions for family violence and Fast Track alignment. </w:t>
      </w:r>
    </w:p>
    <w:p w:rsidRPr="00132CF8" w:rsidR="00C524D9" w:rsidP="00B05C0C" w:rsidRDefault="00C524D9" w14:paraId="070EDFB0" w14:textId="4EA0A996">
      <w:pPr>
        <w:pStyle w:val="Heading2"/>
      </w:pPr>
      <w:r w:rsidRPr="00132CF8">
        <w:t xml:space="preserve">Consistent approach to understanding and managing </w:t>
      </w:r>
      <w:r w:rsidRPr="00132CF8" w:rsidR="00D65F73">
        <w:t>risk</w:t>
      </w:r>
    </w:p>
    <w:p w:rsidRPr="00132CF8" w:rsidR="00D65F73" w:rsidP="00A5281F" w:rsidRDefault="00EC7578" w14:paraId="2359BA2F" w14:textId="1BB74116">
      <w:pPr>
        <w:pStyle w:val="ListParagraph"/>
        <w:numPr>
          <w:ilvl w:val="1"/>
          <w:numId w:val="13"/>
        </w:numPr>
      </w:pPr>
      <w:r w:rsidRPr="00132CF8">
        <w:t>We need strong and active risk management, including of children and young people at severe risk of death, serious injury and revictimisation.</w:t>
      </w:r>
    </w:p>
    <w:p w:rsidRPr="00132CF8" w:rsidR="001F3899" w:rsidP="00A5281F" w:rsidRDefault="001F3899" w14:paraId="3A3ABF84" w14:textId="64AD66EB">
      <w:pPr>
        <w:pStyle w:val="ListParagraph"/>
        <w:numPr>
          <w:ilvl w:val="2"/>
          <w:numId w:val="13"/>
        </w:numPr>
      </w:pPr>
      <w:r w:rsidRPr="00132CF8">
        <w:t xml:space="preserve">This includes </w:t>
      </w:r>
      <w:r w:rsidRPr="00132CF8" w:rsidR="00312224">
        <w:t xml:space="preserve">integrating processes, </w:t>
      </w:r>
      <w:r w:rsidRPr="00132CF8">
        <w:t xml:space="preserve">proactive case management and outreach to families, </w:t>
      </w:r>
      <w:r w:rsidRPr="00132CF8" w:rsidR="00312224">
        <w:t xml:space="preserve">and </w:t>
      </w:r>
      <w:r w:rsidRPr="00132CF8">
        <w:t xml:space="preserve">better data management and monitoring practices. </w:t>
      </w:r>
    </w:p>
    <w:p w:rsidRPr="00132CF8" w:rsidR="00362871" w:rsidP="00A5281F" w:rsidRDefault="00F475E6" w14:paraId="0DB643F0" w14:textId="77777777">
      <w:pPr>
        <w:pStyle w:val="ListParagraph"/>
        <w:numPr>
          <w:ilvl w:val="2"/>
          <w:numId w:val="13"/>
        </w:numPr>
      </w:pPr>
      <w:r w:rsidRPr="00132CF8">
        <w:t xml:space="preserve">Initially this will be in two localities: Rotorua and Auckland City. </w:t>
      </w:r>
    </w:p>
    <w:p w:rsidRPr="00132CF8" w:rsidR="00362871" w:rsidP="00A5281F" w:rsidRDefault="00362871" w14:paraId="0A082CED" w14:textId="5F2089FC">
      <w:pPr>
        <w:pStyle w:val="ListParagraph"/>
        <w:numPr>
          <w:ilvl w:val="2"/>
          <w:numId w:val="13"/>
        </w:numPr>
      </w:pPr>
      <w:r w:rsidRPr="00132CF8">
        <w:t xml:space="preserve">By December 2024, </w:t>
      </w:r>
      <w:r w:rsidRPr="00132CF8" w:rsidR="008534CC">
        <w:t xml:space="preserve">we will </w:t>
      </w:r>
      <w:r w:rsidRPr="00132CF8" w:rsidR="001B543C">
        <w:t>have</w:t>
      </w:r>
      <w:r w:rsidRPr="00132CF8" w:rsidR="008534CC">
        <w:t xml:space="preserve"> finalised the Family Violence Risk and Safety Practice Framework. </w:t>
      </w:r>
      <w:r w:rsidRPr="00132CF8" w:rsidR="00440AEF">
        <w:t>These will be rolled</w:t>
      </w:r>
      <w:r w:rsidRPr="00132CF8" w:rsidR="001B543C">
        <w:t xml:space="preserve"> across the regions, beginning with the 12 localities identified in this plan. </w:t>
      </w:r>
    </w:p>
    <w:p w:rsidRPr="00132CF8" w:rsidR="00F475E6" w:rsidP="00A5281F" w:rsidRDefault="00F475E6" w14:paraId="05B0FAEE" w14:textId="3C970C81">
      <w:pPr>
        <w:pStyle w:val="ListParagraph"/>
        <w:numPr>
          <w:ilvl w:val="2"/>
          <w:numId w:val="13"/>
        </w:numPr>
      </w:pPr>
      <w:r w:rsidRPr="00132CF8">
        <w:lastRenderedPageBreak/>
        <w:t>By December 2025, there will be a nationally consistent approach to managing risk (process, system, practices and data management)</w:t>
      </w:r>
      <w:r w:rsidRPr="00132CF8" w:rsidR="008534CC">
        <w:t xml:space="preserve">. There will also be risk practice enhancements included in the System Improvement Plans of the first 12 localities. </w:t>
      </w:r>
    </w:p>
    <w:p w:rsidRPr="00132CF8" w:rsidR="00C524D9" w:rsidP="00B05C0C" w:rsidRDefault="00C524D9" w14:paraId="0E3F9550" w14:textId="4B4317C7">
      <w:pPr>
        <w:pStyle w:val="Heading2"/>
      </w:pPr>
      <w:r w:rsidRPr="00132CF8">
        <w:t>Improving information sharing</w:t>
      </w:r>
    </w:p>
    <w:p w:rsidRPr="008B0D84" w:rsidR="00C25C76" w:rsidP="00A5281F" w:rsidRDefault="00C25C76" w14:paraId="0B6FCFAC" w14:textId="1EF389B9">
      <w:pPr>
        <w:pStyle w:val="ListParagraph"/>
        <w:numPr>
          <w:ilvl w:val="2"/>
          <w:numId w:val="13"/>
        </w:numPr>
      </w:pPr>
      <w:r w:rsidRPr="00132CF8">
        <w:t>This involves a collaborative case management system that allows safe sharing of information, strengthens victim/survivor rights over their information, and alerts agencies to emerging risks.</w:t>
      </w:r>
    </w:p>
    <w:p w:rsidRPr="00132CF8" w:rsidR="007B08B8" w:rsidP="00A5281F" w:rsidRDefault="007B08B8" w14:paraId="693AE749" w14:textId="3E3E5414">
      <w:pPr>
        <w:pStyle w:val="ListParagraph"/>
        <w:numPr>
          <w:ilvl w:val="2"/>
          <w:numId w:val="13"/>
        </w:numPr>
        <w:rPr>
          <w:b/>
          <w:bCs/>
        </w:rPr>
      </w:pPr>
      <w:r w:rsidRPr="00132CF8">
        <w:t xml:space="preserve">By September 2025, the core operating model will be complete. By December 2025, we will have a proof of concept and information sharing protocols. </w:t>
      </w:r>
      <w:r w:rsidRPr="00132CF8" w:rsidR="008F59BC">
        <w:t xml:space="preserve">Design and procurement will have started by June 2026, and testing will begin by June 2027. </w:t>
      </w:r>
      <w:r w:rsidRPr="00132CF8" w:rsidR="00D1682F">
        <w:t xml:space="preserve">Transition to the new system will happen in December 2028, with evaluation happening the following year. </w:t>
      </w:r>
    </w:p>
    <w:p w:rsidR="008A476B" w:rsidRDefault="008A476B" w14:paraId="1F0C87B9" w14:textId="77777777">
      <w:pPr>
        <w:rPr>
          <w:rFonts w:eastAsia="Times New Roman"/>
          <w:b/>
          <w:color w:val="293D8A"/>
          <w:kern w:val="0"/>
          <w:sz w:val="32"/>
          <w:szCs w:val="32"/>
          <w:lang w:eastAsia="ja-JP"/>
          <w14:ligatures w14:val="none"/>
        </w:rPr>
      </w:pPr>
      <w:r>
        <w:br w:type="page"/>
      </w:r>
    </w:p>
    <w:p w:rsidRPr="00132CF8" w:rsidR="00486CCC" w:rsidP="00264F8D" w:rsidRDefault="002629C4" w14:paraId="0EEE3A73" w14:textId="700586AD">
      <w:pPr>
        <w:pStyle w:val="Heading1"/>
      </w:pPr>
      <w:r w:rsidRPr="00132CF8">
        <w:lastRenderedPageBreak/>
        <w:t>Focus area 3: Stopping violence</w:t>
      </w:r>
    </w:p>
    <w:p w:rsidRPr="00132CF8" w:rsidR="003B05DF" w:rsidP="002168AE" w:rsidRDefault="003B05DF" w14:paraId="3FD856B2" w14:textId="2988594C">
      <w:pPr>
        <w:pStyle w:val="Heading4"/>
      </w:pPr>
      <w:r w:rsidRPr="00132CF8">
        <w:t xml:space="preserve">Supports </w:t>
      </w:r>
      <w:r w:rsidR="009F64DE">
        <w:t>S</w:t>
      </w:r>
      <w:r w:rsidRPr="00132CF8">
        <w:t>hift</w:t>
      </w:r>
      <w:r w:rsidRPr="00132CF8" w:rsidR="005B30E3">
        <w:t xml:space="preserve"> 5</w:t>
      </w:r>
      <w:r w:rsidR="009F64DE">
        <w:t xml:space="preserve">: </w:t>
      </w:r>
      <w:r w:rsidRPr="00C12FC3" w:rsidR="00154764">
        <w:t>Towards safe, accessible and integrated responses</w:t>
      </w:r>
    </w:p>
    <w:p w:rsidRPr="00132CF8" w:rsidR="00921F6E" w:rsidP="00264F8D" w:rsidRDefault="0032259D" w14:paraId="373A62CB" w14:textId="1DEC97A3">
      <w:r w:rsidRPr="00132CF8">
        <w:t>If we are to achieve our target of reducing violent crime, which includes family violence and sexual assault, we must stop people who use violence.</w:t>
      </w:r>
      <w:r w:rsidRPr="00132CF8" w:rsidR="00921F6E">
        <w:t xml:space="preserve"> This means improving accountability, providing the right support, and intervening early to help people change. </w:t>
      </w:r>
    </w:p>
    <w:p w:rsidRPr="00132CF8" w:rsidR="006A68A2" w:rsidP="00B05C0C" w:rsidRDefault="006A68A2" w14:paraId="1761CBEA" w14:textId="3240B60F">
      <w:pPr>
        <w:pStyle w:val="Heading2"/>
      </w:pPr>
      <w:r w:rsidRPr="00132CF8">
        <w:t>Strengthen accountability</w:t>
      </w:r>
    </w:p>
    <w:p w:rsidRPr="00132CF8" w:rsidR="00921F6E" w:rsidP="00A5281F" w:rsidRDefault="00323153" w14:paraId="6E62E224" w14:textId="20109837">
      <w:pPr>
        <w:pStyle w:val="ListParagraph"/>
        <w:numPr>
          <w:ilvl w:val="2"/>
          <w:numId w:val="13"/>
        </w:numPr>
      </w:pPr>
      <w:r w:rsidRPr="00132CF8">
        <w:t>By December 2024, the Ministry of Justice will introduce a Bill that makes</w:t>
      </w:r>
      <w:r w:rsidRPr="00132CF8" w:rsidR="008B6081">
        <w:t xml:space="preserve"> stalking a </w:t>
      </w:r>
      <w:r w:rsidRPr="00132CF8" w:rsidR="00F026DF">
        <w:t>specific</w:t>
      </w:r>
      <w:r w:rsidRPr="00132CF8" w:rsidR="008B6081">
        <w:t xml:space="preserve"> offence</w:t>
      </w:r>
      <w:r w:rsidRPr="00132CF8" w:rsidR="0053555D">
        <w:t>.</w:t>
      </w:r>
    </w:p>
    <w:p w:rsidRPr="00132CF8" w:rsidR="006A68A2" w:rsidP="00B05C0C" w:rsidRDefault="006A68A2" w14:paraId="33291B8A" w14:textId="014A5664">
      <w:pPr>
        <w:pStyle w:val="Heading2"/>
      </w:pPr>
      <w:r w:rsidRPr="00B05C0C">
        <w:t>Provide</w:t>
      </w:r>
      <w:r w:rsidRPr="00132CF8">
        <w:t xml:space="preserve"> the right intervention</w:t>
      </w:r>
    </w:p>
    <w:p w:rsidRPr="00132CF8" w:rsidR="00F521DB" w:rsidP="00F00437" w:rsidRDefault="00F521DB" w14:paraId="0A9DA93D" w14:textId="568AF601">
      <w:pPr>
        <w:pStyle w:val="ListParagraph"/>
        <w:numPr>
          <w:ilvl w:val="2"/>
          <w:numId w:val="13"/>
        </w:numPr>
      </w:pPr>
      <w:r w:rsidRPr="00132CF8">
        <w:t xml:space="preserve">By March 2025, we will have scoped a review of current interventions. By December 2025, we will have completed a current- and future-state analysis of interventions for people who use violence.  </w:t>
      </w:r>
    </w:p>
    <w:p w:rsidRPr="00132CF8" w:rsidR="006A68A2" w:rsidP="00A5281F" w:rsidRDefault="00C27227" w14:paraId="216E4E39" w14:textId="447EF19C">
      <w:pPr>
        <w:pStyle w:val="ListParagraph"/>
        <w:numPr>
          <w:ilvl w:val="2"/>
          <w:numId w:val="13"/>
        </w:numPr>
      </w:pPr>
      <w:r w:rsidRPr="00132CF8">
        <w:t xml:space="preserve">Te Huringa ō Te Ao </w:t>
      </w:r>
      <w:r w:rsidRPr="00132CF8" w:rsidR="009F0361">
        <w:t xml:space="preserve">is a new family violence </w:t>
      </w:r>
      <w:r w:rsidRPr="00132CF8" w:rsidR="00105B72">
        <w:t>service provider</w:t>
      </w:r>
      <w:r w:rsidRPr="00132CF8" w:rsidR="009F0361">
        <w:t xml:space="preserve"> for tāne and men who are hurting their partners </w:t>
      </w:r>
      <w:r w:rsidRPr="00132CF8" w:rsidR="00105B72">
        <w:t>and/or</w:t>
      </w:r>
      <w:r w:rsidRPr="00132CF8" w:rsidR="009F0361">
        <w:t xml:space="preserve"> children and who realise it is time to change</w:t>
      </w:r>
      <w:r w:rsidRPr="00132CF8" w:rsidR="006516F0">
        <w:t xml:space="preserve">. </w:t>
      </w:r>
      <w:r w:rsidRPr="00132CF8" w:rsidR="00105B72">
        <w:t xml:space="preserve">By April 2025, </w:t>
      </w:r>
      <w:r w:rsidRPr="00132CF8">
        <w:t xml:space="preserve">contracts will be agreed with Te Huringa ō Te Ao providers; by December 2025, we will have scoped a baseline evaluation. </w:t>
      </w:r>
    </w:p>
    <w:p w:rsidRPr="00132CF8" w:rsidR="00F677BB" w:rsidP="00A5281F" w:rsidRDefault="004A1F51" w14:paraId="2ADEF63C" w14:textId="614FDF55">
      <w:pPr>
        <w:pStyle w:val="ListParagraph"/>
        <w:numPr>
          <w:ilvl w:val="2"/>
          <w:numId w:val="13"/>
        </w:numPr>
      </w:pPr>
      <w:r w:rsidRPr="00132CF8">
        <w:t xml:space="preserve">Rehabilitation programmes are being extended to prisoners on remand. These programmes play a crucial role in reducing reoffending. </w:t>
      </w:r>
      <w:r w:rsidRPr="00132CF8" w:rsidR="00DC6743">
        <w:t xml:space="preserve">By December 2024, there will be a plan for service expansion. By March 2025, a plan will be submitted to Treasury to release additional funding. Service expansion will begin from July 2025. </w:t>
      </w:r>
    </w:p>
    <w:p w:rsidRPr="00132CF8" w:rsidR="00E40649" w:rsidP="1BB0B583" w:rsidRDefault="00F677BB" w14:paraId="69132EAA" w14:textId="7D9D80DE">
      <w:pPr>
        <w:pStyle w:val="ListParagraph"/>
        <w:rPr/>
      </w:pPr>
      <w:r w:rsidR="00F677BB">
        <w:rPr/>
        <w:t>We will also be expanding access to safety programmes in the criminal court</w:t>
      </w:r>
      <w:r w:rsidR="00F5389E">
        <w:rPr/>
        <w:t>, which will increase wellbeing for victim/survivors and their childre</w:t>
      </w:r>
      <w:r w:rsidR="34D8C050">
        <w:rPr/>
        <w:t>n</w:t>
      </w:r>
      <w:r w:rsidR="00F5389E">
        <w:rPr/>
        <w:t xml:space="preserve"> and minimise the risk of further victimisation. </w:t>
      </w:r>
      <w:r w:rsidR="00756E6A">
        <w:rPr/>
        <w:t xml:space="preserve">Contracts will be agreed by June 2025 and the safety programmes will </w:t>
      </w:r>
      <w:r w:rsidR="001E2452">
        <w:rPr/>
        <w:t xml:space="preserve">start </w:t>
      </w:r>
      <w:r w:rsidR="00E041AE">
        <w:rPr/>
        <w:t>the following month</w:t>
      </w:r>
      <w:r w:rsidR="00756E6A">
        <w:rPr/>
        <w:t xml:space="preserve">. </w:t>
      </w:r>
    </w:p>
    <w:p w:rsidR="008A476B" w:rsidRDefault="008A476B" w14:paraId="25C0C9AC" w14:textId="77777777">
      <w:pPr>
        <w:rPr>
          <w:rFonts w:eastAsia="Times New Roman"/>
          <w:b/>
          <w:color w:val="293D8A"/>
          <w:kern w:val="0"/>
          <w:sz w:val="32"/>
          <w:szCs w:val="32"/>
          <w:lang w:eastAsia="ja-JP"/>
          <w14:ligatures w14:val="none"/>
        </w:rPr>
      </w:pPr>
      <w:r>
        <w:br w:type="page"/>
      </w:r>
    </w:p>
    <w:p w:rsidRPr="00132CF8" w:rsidR="00E40649" w:rsidP="00264F8D" w:rsidRDefault="00E40649" w14:paraId="2B6101FC" w14:textId="3A321812">
      <w:pPr>
        <w:pStyle w:val="Heading1"/>
      </w:pPr>
      <w:r w:rsidRPr="00132CF8">
        <w:lastRenderedPageBreak/>
        <w:t xml:space="preserve">Focus areas 4-7: </w:t>
      </w:r>
      <w:r w:rsidRPr="00132CF8" w:rsidR="00EB10B3">
        <w:t>W</w:t>
      </w:r>
      <w:r w:rsidRPr="00132CF8">
        <w:t xml:space="preserve">orkforce; </w:t>
      </w:r>
      <w:r w:rsidRPr="00132CF8" w:rsidR="00EB10B3">
        <w:t>C</w:t>
      </w:r>
      <w:r w:rsidRPr="00132CF8" w:rsidR="001F60C1">
        <w:t xml:space="preserve">hildren and young people; </w:t>
      </w:r>
      <w:r w:rsidRPr="00132CF8" w:rsidR="00A87F2E">
        <w:t>S</w:t>
      </w:r>
      <w:r w:rsidRPr="00132CF8">
        <w:t xml:space="preserve">exual violence; </w:t>
      </w:r>
      <w:r w:rsidR="00585BF1">
        <w:t xml:space="preserve">and </w:t>
      </w:r>
      <w:r w:rsidRPr="00132CF8" w:rsidR="00EB10B3">
        <w:t>P</w:t>
      </w:r>
      <w:r w:rsidRPr="00132CF8" w:rsidR="0065563C">
        <w:t>revention</w:t>
      </w:r>
      <w:r w:rsidRPr="00132CF8">
        <w:t xml:space="preserve"> </w:t>
      </w:r>
    </w:p>
    <w:p w:rsidRPr="00132CF8" w:rsidR="00E40649" w:rsidP="00264F8D" w:rsidRDefault="00042AE5" w14:paraId="4395DF69" w14:textId="19851A08">
      <w:r w:rsidRPr="00132CF8">
        <w:t xml:space="preserve">Agencies </w:t>
      </w:r>
      <w:r w:rsidRPr="00132CF8" w:rsidR="00F64977">
        <w:t xml:space="preserve">have a lot of services and initiatives </w:t>
      </w:r>
      <w:r w:rsidRPr="00132CF8">
        <w:t>to support these four focus areas</w:t>
      </w:r>
      <w:r w:rsidRPr="00132CF8" w:rsidR="00F64977">
        <w:t xml:space="preserve">, and these will continue to be developed. </w:t>
      </w:r>
      <w:r w:rsidRPr="00132CF8" w:rsidR="00F833D2">
        <w:t>The following gives a snapshot of these activities</w:t>
      </w:r>
      <w:r w:rsidR="00DD0AAD">
        <w:t xml:space="preserve"> and identifies which of the six system shifts from Te Aorerekura are being supported. </w:t>
      </w:r>
    </w:p>
    <w:p w:rsidR="00244919" w:rsidP="00F00437" w:rsidRDefault="009C2E66" w14:paraId="65EED56E" w14:textId="77777777">
      <w:pPr>
        <w:pStyle w:val="Heading2"/>
      </w:pPr>
      <w:r w:rsidRPr="00132CF8">
        <w:t>Workforce</w:t>
      </w:r>
    </w:p>
    <w:p w:rsidRPr="00132CF8" w:rsidR="009C2E66" w:rsidP="00244919" w:rsidRDefault="00244919" w14:paraId="73B49ED7" w14:textId="31AD2A48">
      <w:pPr>
        <w:pStyle w:val="Heading4"/>
      </w:pPr>
      <w:r>
        <w:t>S</w:t>
      </w:r>
      <w:r w:rsidRPr="00132CF8" w:rsidR="00AC1C8D">
        <w:t xml:space="preserve">upports </w:t>
      </w:r>
      <w:r>
        <w:t>S</w:t>
      </w:r>
      <w:r w:rsidRPr="00132CF8" w:rsidR="00AC1C8D">
        <w:t>hift</w:t>
      </w:r>
      <w:r w:rsidR="009F64DE">
        <w:t xml:space="preserve"> </w:t>
      </w:r>
      <w:r w:rsidRPr="00132CF8" w:rsidR="00A32967">
        <w:t>3</w:t>
      </w:r>
      <w:r w:rsidR="009F64DE">
        <w:t xml:space="preserve">: </w:t>
      </w:r>
      <w:r w:rsidRPr="00C12FC3" w:rsidR="00154764">
        <w:t>Towards skilled, culturally competent and sustainable workforces</w:t>
      </w:r>
      <w:r w:rsidR="000D3E06">
        <w:t>;</w:t>
      </w:r>
      <w:r w:rsidR="00667C59">
        <w:t xml:space="preserve"> </w:t>
      </w:r>
      <w:r w:rsidR="000D3E06">
        <w:t>S</w:t>
      </w:r>
      <w:r w:rsidR="00667C59">
        <w:t>hift</w:t>
      </w:r>
      <w:r w:rsidRPr="00132CF8" w:rsidR="00A32967">
        <w:t xml:space="preserve"> 4</w:t>
      </w:r>
      <w:r w:rsidR="00086141">
        <w:t xml:space="preserve">: </w:t>
      </w:r>
      <w:r w:rsidRPr="00C12FC3" w:rsidR="00154764">
        <w:t>Towards investment in primary prevention</w:t>
      </w:r>
      <w:r w:rsidRPr="00132CF8" w:rsidR="00A32967">
        <w:t xml:space="preserve"> and</w:t>
      </w:r>
      <w:r w:rsidR="00086141">
        <w:t xml:space="preserve"> Shift</w:t>
      </w:r>
      <w:r w:rsidRPr="00132CF8" w:rsidR="00A32967">
        <w:t xml:space="preserve"> 5</w:t>
      </w:r>
      <w:r>
        <w:t>:</w:t>
      </w:r>
      <w:r w:rsidRPr="00244919">
        <w:rPr>
          <w:rFonts w:asciiTheme="minorHAnsi" w:hAnsiTheme="minorHAnsi" w:cstheme="minorBidi"/>
          <w:b/>
          <w:bCs/>
          <w:kern w:val="2"/>
          <w:sz w:val="22"/>
          <w:szCs w:val="22"/>
        </w:rPr>
        <w:t xml:space="preserve"> </w:t>
      </w:r>
      <w:r w:rsidRPr="00C12FC3" w:rsidR="00154764">
        <w:t>Towards safe, accessible and integrated responses</w:t>
      </w:r>
    </w:p>
    <w:p w:rsidRPr="00132CF8" w:rsidR="00FD48A6" w:rsidP="00A5281F" w:rsidRDefault="00F833D2" w14:paraId="6B4BA370" w14:textId="77777777">
      <w:pPr>
        <w:pStyle w:val="ListParagraph"/>
        <w:numPr>
          <w:ilvl w:val="2"/>
          <w:numId w:val="13"/>
        </w:numPr>
      </w:pPr>
      <w:r w:rsidRPr="00132CF8">
        <w:t>Training 10,000 frontline statutory workers</w:t>
      </w:r>
    </w:p>
    <w:p w:rsidRPr="00132CF8" w:rsidR="000808B2" w:rsidP="00A5281F" w:rsidRDefault="000808B2" w14:paraId="2AD21D30" w14:textId="1A528882">
      <w:pPr>
        <w:pStyle w:val="ListParagraph"/>
        <w:numPr>
          <w:ilvl w:val="2"/>
          <w:numId w:val="13"/>
        </w:numPr>
      </w:pPr>
      <w:r w:rsidRPr="00132CF8">
        <w:t>Health Violence Intervention Programme</w:t>
      </w:r>
    </w:p>
    <w:p w:rsidR="00A52D7D" w:rsidP="00F00437" w:rsidRDefault="00FD48A6" w14:paraId="568162E2" w14:textId="77777777">
      <w:pPr>
        <w:pStyle w:val="Heading2"/>
      </w:pPr>
      <w:r w:rsidRPr="00132CF8">
        <w:t>Protecting children and young people</w:t>
      </w:r>
    </w:p>
    <w:p w:rsidRPr="00132CF8" w:rsidR="0000730E" w:rsidP="001739E3" w:rsidRDefault="00A52D7D" w14:paraId="719FA501" w14:textId="2562BEC7">
      <w:pPr>
        <w:pStyle w:val="Heading4"/>
      </w:pPr>
      <w:r>
        <w:t>S</w:t>
      </w:r>
      <w:r w:rsidRPr="00132CF8" w:rsidR="0000730E">
        <w:t xml:space="preserve">upports </w:t>
      </w:r>
      <w:r>
        <w:t>S</w:t>
      </w:r>
      <w:r w:rsidRPr="00132CF8" w:rsidR="0000730E">
        <w:t>hift 4</w:t>
      </w:r>
      <w:r w:rsidR="00FA7DD0">
        <w:t xml:space="preserve">: </w:t>
      </w:r>
      <w:r w:rsidRPr="00C12FC3" w:rsidR="00154764">
        <w:t>Towards investment in primary prevention</w:t>
      </w:r>
      <w:r w:rsidRPr="00132CF8" w:rsidR="0000730E">
        <w:t xml:space="preserve"> and </w:t>
      </w:r>
      <w:r w:rsidR="00FA7DD0">
        <w:t xml:space="preserve">Shift </w:t>
      </w:r>
      <w:r w:rsidRPr="00132CF8" w:rsidR="0000730E">
        <w:t>5</w:t>
      </w:r>
      <w:r w:rsidR="00FA7DD0">
        <w:t>:</w:t>
      </w:r>
      <w:r w:rsidRPr="001739E3" w:rsidR="001739E3">
        <w:rPr>
          <w:rFonts w:asciiTheme="minorHAnsi" w:hAnsiTheme="minorHAnsi" w:cstheme="minorBidi"/>
          <w:b/>
          <w:bCs/>
          <w:kern w:val="2"/>
          <w:sz w:val="22"/>
          <w:szCs w:val="22"/>
        </w:rPr>
        <w:t xml:space="preserve"> </w:t>
      </w:r>
      <w:r w:rsidRPr="00C12FC3" w:rsidR="00154764">
        <w:t>Towards safe, accessible and integrated responses</w:t>
      </w:r>
    </w:p>
    <w:p w:rsidRPr="00132CF8" w:rsidR="00B348F4" w:rsidP="00A5281F" w:rsidRDefault="00B348F4" w14:paraId="3E020015" w14:textId="260E5912">
      <w:pPr>
        <w:pStyle w:val="ListParagraph"/>
        <w:numPr>
          <w:ilvl w:val="2"/>
          <w:numId w:val="13"/>
        </w:numPr>
      </w:pPr>
      <w:r w:rsidRPr="00132CF8">
        <w:t>Specialist restorative justice services</w:t>
      </w:r>
    </w:p>
    <w:p w:rsidRPr="00132CF8" w:rsidR="00713BE7" w:rsidP="00A5281F" w:rsidRDefault="00B348F4" w14:paraId="5AA3F6BB" w14:textId="77777777">
      <w:pPr>
        <w:pStyle w:val="ListParagraph"/>
        <w:numPr>
          <w:ilvl w:val="2"/>
          <w:numId w:val="13"/>
        </w:numPr>
      </w:pPr>
      <w:r w:rsidRPr="00132CF8">
        <w:t>Specialist court support for child victims of sexual violence</w:t>
      </w:r>
    </w:p>
    <w:p w:rsidRPr="00132CF8" w:rsidR="000808B2" w:rsidP="00F00437" w:rsidRDefault="000808B2" w14:paraId="4CCAD487" w14:textId="7547B2D1">
      <w:pPr>
        <w:pStyle w:val="ListParagraph"/>
        <w:numPr>
          <w:ilvl w:val="2"/>
          <w:numId w:val="13"/>
        </w:numPr>
      </w:pPr>
      <w:r w:rsidRPr="00132CF8">
        <w:t>The Child Advocates Programme</w:t>
      </w:r>
    </w:p>
    <w:p w:rsidR="00E92E7F" w:rsidP="00F00437" w:rsidRDefault="00713BE7" w14:paraId="5078619E" w14:textId="77777777">
      <w:pPr>
        <w:pStyle w:val="Heading2"/>
      </w:pPr>
      <w:r w:rsidRPr="00132CF8">
        <w:t>Sexual violence</w:t>
      </w:r>
    </w:p>
    <w:p w:rsidRPr="0091392C" w:rsidR="009C2E66" w:rsidP="0091392C" w:rsidRDefault="00E92E7F" w14:paraId="74D80024" w14:textId="1F82D543">
      <w:pPr>
        <w:pStyle w:val="Heading4"/>
      </w:pPr>
      <w:r w:rsidRPr="0091392C">
        <w:t>S</w:t>
      </w:r>
      <w:r w:rsidRPr="0091392C" w:rsidR="0000730E">
        <w:t xml:space="preserve">upports </w:t>
      </w:r>
      <w:r w:rsidRPr="0091392C">
        <w:rPr>
          <w:rFonts w:eastAsiaTheme="majorEastAsia"/>
        </w:rPr>
        <w:t>Shift 5: Towards safe, accessible and integrated responses</w:t>
      </w:r>
      <w:r w:rsidRPr="0091392C">
        <w:t xml:space="preserve"> </w:t>
      </w:r>
      <w:r w:rsidRPr="0091392C" w:rsidR="0000730E">
        <w:t xml:space="preserve">and </w:t>
      </w:r>
      <w:r w:rsidRPr="0091392C">
        <w:t xml:space="preserve">Shift </w:t>
      </w:r>
      <w:r w:rsidRPr="0091392C" w:rsidR="0000730E">
        <w:t>6</w:t>
      </w:r>
      <w:r w:rsidRPr="0091392C">
        <w:t xml:space="preserve">: </w:t>
      </w:r>
      <w:r w:rsidRPr="0091392C" w:rsidR="00154764">
        <w:t>Towards increased capacity for healing</w:t>
      </w:r>
    </w:p>
    <w:p w:rsidRPr="00132CF8" w:rsidR="00713BE7" w:rsidP="00A5281F" w:rsidRDefault="00B348F4" w14:paraId="1724942A" w14:textId="77777777">
      <w:pPr>
        <w:pStyle w:val="ListParagraph"/>
        <w:numPr>
          <w:ilvl w:val="2"/>
          <w:numId w:val="13"/>
        </w:numPr>
      </w:pPr>
      <w:r w:rsidRPr="00132CF8">
        <w:t>Kaupapa Māori sexual violence services</w:t>
      </w:r>
    </w:p>
    <w:p w:rsidRPr="00132CF8" w:rsidR="00B348F4" w:rsidP="00A5281F" w:rsidRDefault="00B348F4" w14:paraId="0B9696CE" w14:textId="58859150">
      <w:pPr>
        <w:pStyle w:val="ListParagraph"/>
        <w:numPr>
          <w:ilvl w:val="2"/>
          <w:numId w:val="13"/>
        </w:numPr>
      </w:pPr>
      <w:r w:rsidRPr="00132CF8">
        <w:t>Concerning Sexual Ideation Service</w:t>
      </w:r>
    </w:p>
    <w:p w:rsidR="00506959" w:rsidP="00F00437" w:rsidRDefault="00713BE7" w14:paraId="1FDC8857" w14:textId="77777777">
      <w:pPr>
        <w:pStyle w:val="Heading2"/>
      </w:pPr>
      <w:r w:rsidRPr="00132CF8">
        <w:t>Preventing violence before it starts</w:t>
      </w:r>
    </w:p>
    <w:p w:rsidRPr="00132CF8" w:rsidR="00713BE7" w:rsidP="00DD0AAD" w:rsidRDefault="00506959" w14:paraId="54EDA97C" w14:textId="38736D27">
      <w:pPr>
        <w:pStyle w:val="Heading4"/>
      </w:pPr>
      <w:r>
        <w:t>S</w:t>
      </w:r>
      <w:r w:rsidRPr="00132CF8" w:rsidR="0000730E">
        <w:t xml:space="preserve">upports </w:t>
      </w:r>
      <w:r>
        <w:t>S</w:t>
      </w:r>
      <w:r w:rsidRPr="00132CF8" w:rsidR="0000730E">
        <w:t>hift 2</w:t>
      </w:r>
      <w:r>
        <w:t>:</w:t>
      </w:r>
      <w:r w:rsidR="00770D07">
        <w:t xml:space="preserve"> </w:t>
      </w:r>
      <w:r w:rsidRPr="00C12FC3" w:rsidR="00154764">
        <w:t>Towards mobilising communities</w:t>
      </w:r>
      <w:r w:rsidRPr="00132CF8" w:rsidR="0000730E">
        <w:t xml:space="preserve"> and </w:t>
      </w:r>
      <w:r>
        <w:t xml:space="preserve">Shift </w:t>
      </w:r>
      <w:r w:rsidRPr="00132CF8" w:rsidR="0000730E">
        <w:t>4</w:t>
      </w:r>
      <w:r w:rsidR="00DD0AAD">
        <w:t xml:space="preserve">: </w:t>
      </w:r>
      <w:r w:rsidRPr="00C12FC3" w:rsidR="00154764">
        <w:t>Towards investment in primary prevention</w:t>
      </w:r>
    </w:p>
    <w:p w:rsidRPr="00132CF8" w:rsidR="00713BE7" w:rsidP="00A5281F" w:rsidRDefault="00713BE7" w14:paraId="4B323749" w14:textId="77777777">
      <w:pPr>
        <w:pStyle w:val="ListParagraph"/>
        <w:numPr>
          <w:ilvl w:val="2"/>
          <w:numId w:val="13"/>
        </w:numPr>
      </w:pPr>
      <w:r w:rsidRPr="00132CF8">
        <w:t>Community-led sexual violence primary prevention</w:t>
      </w:r>
    </w:p>
    <w:p w:rsidRPr="00132CF8" w:rsidR="00713BE7" w:rsidP="00A5281F" w:rsidRDefault="00713BE7" w14:paraId="607FBC5E" w14:textId="77777777">
      <w:pPr>
        <w:pStyle w:val="ListParagraph"/>
        <w:numPr>
          <w:ilvl w:val="2"/>
          <w:numId w:val="13"/>
        </w:numPr>
      </w:pPr>
      <w:r w:rsidRPr="00132CF8">
        <w:t>Whānau-Centred Facilitation Initiative</w:t>
      </w:r>
    </w:p>
    <w:p w:rsidRPr="00132CF8" w:rsidR="00713BE7" w:rsidP="00A5281F" w:rsidRDefault="00713BE7" w14:paraId="1F6A3B9D" w14:textId="77777777">
      <w:pPr>
        <w:pStyle w:val="ListParagraph"/>
        <w:numPr>
          <w:ilvl w:val="2"/>
          <w:numId w:val="13"/>
        </w:numPr>
      </w:pPr>
      <w:r w:rsidRPr="00132CF8">
        <w:t>Elder Abuse Response Service</w:t>
      </w:r>
    </w:p>
    <w:p w:rsidRPr="00132CF8" w:rsidR="00E40649" w:rsidP="00A5281F" w:rsidRDefault="00713BE7" w14:paraId="761DA887" w14:textId="29AF5693">
      <w:pPr>
        <w:pStyle w:val="ListParagraph"/>
        <w:numPr>
          <w:ilvl w:val="2"/>
          <w:numId w:val="13"/>
        </w:numPr>
      </w:pPr>
      <w:r w:rsidRPr="00132CF8">
        <w:t>Pasefika Proud</w:t>
      </w:r>
    </w:p>
    <w:p w:rsidR="008A476B" w:rsidRDefault="008A476B" w14:paraId="797C802C" w14:textId="77777777">
      <w:pPr>
        <w:rPr>
          <w:rFonts w:eastAsia="Times New Roman"/>
          <w:b/>
          <w:color w:val="293D8A"/>
          <w:kern w:val="0"/>
          <w:sz w:val="32"/>
          <w:szCs w:val="32"/>
          <w:lang w:eastAsia="ja-JP"/>
          <w14:ligatures w14:val="none"/>
        </w:rPr>
      </w:pPr>
      <w:r>
        <w:br w:type="page"/>
      </w:r>
    </w:p>
    <w:p w:rsidRPr="00132CF8" w:rsidR="00C653C7" w:rsidP="00264F8D" w:rsidRDefault="00C653C7" w14:paraId="4CC8C8C7" w14:textId="6D8A9B80">
      <w:pPr>
        <w:pStyle w:val="Heading1"/>
      </w:pPr>
      <w:r w:rsidRPr="00132CF8">
        <w:lastRenderedPageBreak/>
        <w:t>Measuring success</w:t>
      </w:r>
    </w:p>
    <w:p w:rsidRPr="00132CF8" w:rsidR="00403429" w:rsidP="00264F8D" w:rsidRDefault="003024A6" w14:paraId="71456BBA" w14:textId="77777777">
      <w:r w:rsidRPr="00132CF8">
        <w:t>Indicators have been developed for the actions in the first three priority focus areas.</w:t>
      </w:r>
      <w:r w:rsidRPr="00132CF8" w:rsidR="00471CCF">
        <w:t xml:space="preserve"> These will be reported quarterly. </w:t>
      </w:r>
      <w:r w:rsidRPr="00132CF8" w:rsidR="00403429">
        <w:t xml:space="preserve">Milestones are set for each action. These show what we will do by when. They will also be reported quarterly. </w:t>
      </w:r>
    </w:p>
    <w:p w:rsidRPr="00132CF8" w:rsidR="004A6D9D" w:rsidP="00264F8D" w:rsidRDefault="004A6D9D" w14:paraId="55B5350E" w14:textId="7879AA47">
      <w:r w:rsidRPr="00132CF8">
        <w:t>We will use the outcomes, indicators and measures in the Outcomes and Measurement Framework (OMF) to assess our progress in delivering change for people, whānau and families through this plan.</w:t>
      </w:r>
      <w:r w:rsidRPr="00132CF8" w:rsidR="00471CCF">
        <w:t xml:space="preserve"> </w:t>
      </w:r>
      <w:r w:rsidRPr="00132CF8" w:rsidR="002E2354">
        <w:t>The OMF was created for Te</w:t>
      </w:r>
      <w:r w:rsidR="000D3E06">
        <w:t> </w:t>
      </w:r>
      <w:r w:rsidRPr="00132CF8" w:rsidR="002E2354">
        <w:t xml:space="preserve">Aorerekura in 2023. It set two levels of desired outcomes: longer-term outcomes over 25 years and short-term outcomes that show steps along the way. </w:t>
      </w:r>
      <w:r w:rsidRPr="00132CF8" w:rsidR="00471CCF">
        <w:t xml:space="preserve">The OMF will be reported against annually. </w:t>
      </w:r>
    </w:p>
    <w:p w:rsidRPr="00132CF8" w:rsidR="00247294" w:rsidP="00264F8D" w:rsidRDefault="00245F0F" w14:paraId="371B1670" w14:textId="42E01948">
      <w:r w:rsidRPr="00132CF8">
        <w:t xml:space="preserve">Te Puna Aonui will also provide up to two ‘deep dive reports’ each year, which will </w:t>
      </w:r>
      <w:r w:rsidRPr="00132CF8" w:rsidR="00755E54">
        <w:t>look at</w:t>
      </w:r>
      <w:r w:rsidRPr="00132CF8">
        <w:t xml:space="preserve"> progress being made </w:t>
      </w:r>
      <w:r w:rsidRPr="00132CF8" w:rsidR="008D512B">
        <w:t>under</w:t>
      </w:r>
      <w:r w:rsidRPr="00132CF8">
        <w:t xml:space="preserve"> Te Aorerekura for a particular community or group. </w:t>
      </w:r>
      <w:r w:rsidRPr="00132CF8" w:rsidR="00247294">
        <w:t>These will use data and insights that reflect the experience and priorities groups disproportionately affected by violence – women, children and young people, tangata whenua, Pacific peoples, disabled people, older people, LGBTQIA+ communities, and ethnic communities.</w:t>
      </w:r>
    </w:p>
    <w:p w:rsidRPr="00132CF8" w:rsidR="00245F0F" w:rsidP="00264F8D" w:rsidRDefault="008D512B" w14:paraId="099395EF" w14:textId="765F1EC8">
      <w:r w:rsidRPr="00132CF8">
        <w:t xml:space="preserve">Te Puna Aonui </w:t>
      </w:r>
      <w:r w:rsidRPr="00132CF8" w:rsidR="00755E54">
        <w:t>has also committed to an outcomes evaluation of Te Aorerekura in 2026/27.</w:t>
      </w:r>
    </w:p>
    <w:p w:rsidR="008A476B" w:rsidRDefault="008A476B" w14:paraId="5837BE41" w14:textId="77777777">
      <w:pPr>
        <w:rPr>
          <w:rFonts w:eastAsia="Times New Roman"/>
          <w:b/>
          <w:color w:val="293D8A"/>
          <w:kern w:val="0"/>
          <w:sz w:val="32"/>
          <w:szCs w:val="32"/>
          <w:lang w:eastAsia="ja-JP"/>
          <w14:ligatures w14:val="none"/>
        </w:rPr>
      </w:pPr>
      <w:r>
        <w:br w:type="page"/>
      </w:r>
    </w:p>
    <w:p w:rsidRPr="00132CF8" w:rsidR="00403429" w:rsidP="00264F8D" w:rsidRDefault="00EE191D" w14:paraId="0F8E4961" w14:textId="1C75A1EC">
      <w:pPr>
        <w:pStyle w:val="Heading1"/>
      </w:pPr>
      <w:r w:rsidRPr="00132CF8">
        <w:lastRenderedPageBreak/>
        <w:t xml:space="preserve">Actions under each focus area </w:t>
      </w:r>
      <w:r w:rsidR="001E0868">
        <w:t>and</w:t>
      </w:r>
      <w:r w:rsidRPr="00132CF8">
        <w:t xml:space="preserve"> p</w:t>
      </w:r>
      <w:r w:rsidRPr="00132CF8" w:rsidR="007D154A">
        <w:t>erformance indicators</w:t>
      </w:r>
    </w:p>
    <w:p w:rsidRPr="00132CF8" w:rsidR="007D154A" w:rsidP="002A1C37" w:rsidRDefault="007D154A" w14:paraId="6DE280DC" w14:textId="7FF66FB2">
      <w:pPr>
        <w:pStyle w:val="Heading2"/>
      </w:pPr>
      <w:r w:rsidRPr="00132CF8">
        <w:t>Investing and commissioning well</w:t>
      </w:r>
    </w:p>
    <w:p w:rsidRPr="00626B96" w:rsidR="00B549FC" w:rsidP="00E03F9C" w:rsidRDefault="00B549FC" w14:paraId="585A8466" w14:textId="1810854B">
      <w:pPr>
        <w:pStyle w:val="Heading3"/>
      </w:pPr>
      <w:r w:rsidRPr="00626B96">
        <w:t>Investment prioritisation</w:t>
      </w:r>
    </w:p>
    <w:p w:rsidRPr="00626B96" w:rsidR="00DA2530" w:rsidP="00626B96" w:rsidRDefault="00DA2530" w14:paraId="13EE956D" w14:textId="385CBA0E">
      <w:pPr>
        <w:pStyle w:val="ListParagraph"/>
        <w:numPr>
          <w:ilvl w:val="0"/>
          <w:numId w:val="28"/>
        </w:numPr>
        <w:ind w:left="426" w:hanging="426"/>
      </w:pPr>
      <w:r w:rsidRPr="00626B96">
        <w:t xml:space="preserve">Number of assessments of effectiveness of initiatives undertaken </w:t>
      </w:r>
    </w:p>
    <w:p w:rsidRPr="00626B96" w:rsidR="00DA2530" w:rsidP="00626B96" w:rsidRDefault="00DA2530" w14:paraId="1D006AB9" w14:textId="77777777">
      <w:pPr>
        <w:pStyle w:val="ListParagraph"/>
        <w:ind w:left="426" w:hanging="426"/>
      </w:pPr>
      <w:r w:rsidRPr="00626B96">
        <w:t xml:space="preserve">Number of initiatives with a Level 2 or above score for maturity of Social Investment Approach </w:t>
      </w:r>
    </w:p>
    <w:p w:rsidRPr="00626B96" w:rsidR="00DA2530" w:rsidP="00626B96" w:rsidRDefault="00DA2530" w14:paraId="0EE647D8" w14:textId="77777777">
      <w:pPr>
        <w:pStyle w:val="ListParagraph"/>
        <w:ind w:left="426" w:hanging="426"/>
      </w:pPr>
      <w:r w:rsidRPr="00626B96">
        <w:t xml:space="preserve">Percentage of reinvested spend as a percentage of total spend </w:t>
      </w:r>
    </w:p>
    <w:p w:rsidRPr="00626B96" w:rsidR="007D154A" w:rsidP="00626B96" w:rsidRDefault="00DA2530" w14:paraId="15929932" w14:textId="2336F874">
      <w:pPr>
        <w:pStyle w:val="ListParagraph"/>
        <w:ind w:left="426" w:hanging="426"/>
      </w:pPr>
      <w:r w:rsidRPr="00626B96">
        <w:t>Number of new initiatives launched through prioritisation to address known service gaps or system barriers</w:t>
      </w:r>
    </w:p>
    <w:p w:rsidRPr="00132CF8" w:rsidR="00B549FC" w:rsidP="00E03F9C" w:rsidRDefault="00B549FC" w14:paraId="5476B50C" w14:textId="06ECA355">
      <w:pPr>
        <w:pStyle w:val="Heading3"/>
      </w:pPr>
      <w:r w:rsidRPr="00315F35">
        <w:t>Contracting</w:t>
      </w:r>
      <w:r w:rsidRPr="00132CF8">
        <w:t xml:space="preserve"> differently for better outcomes</w:t>
      </w:r>
    </w:p>
    <w:p w:rsidRPr="00132CF8" w:rsidR="00B549FC" w:rsidP="00E03F9C" w:rsidRDefault="00B549FC" w14:paraId="21B9FA91" w14:textId="09C7E3B1">
      <w:pPr>
        <w:pStyle w:val="ListParagraph"/>
        <w:ind w:left="426" w:hanging="426"/>
      </w:pPr>
      <w:r w:rsidRPr="00132CF8">
        <w:t>Number of contract providers with aligned reporting</w:t>
      </w:r>
    </w:p>
    <w:p w:rsidRPr="00132CF8" w:rsidR="00B549FC" w:rsidP="00315F35" w:rsidRDefault="00213893" w14:paraId="79E4ADB2" w14:textId="1A4A744A">
      <w:pPr>
        <w:pStyle w:val="Heading2"/>
      </w:pPr>
      <w:r w:rsidRPr="00132CF8">
        <w:t>Keeping people safe</w:t>
      </w:r>
    </w:p>
    <w:p w:rsidRPr="00132CF8" w:rsidR="00213893" w:rsidP="00E03F9C" w:rsidRDefault="00213893" w14:paraId="17606BDF" w14:textId="4EDA8E96">
      <w:pPr>
        <w:pStyle w:val="Heading3"/>
      </w:pPr>
      <w:r w:rsidRPr="00132CF8">
        <w:t>Strong governance, leadership and ways of working</w:t>
      </w:r>
    </w:p>
    <w:p w:rsidRPr="00132CF8" w:rsidR="00626E93" w:rsidP="00E03F9C" w:rsidRDefault="00626E93" w14:paraId="5303106B" w14:textId="6AFE33A6">
      <w:pPr>
        <w:pStyle w:val="ListParagraph"/>
        <w:ind w:left="426" w:hanging="426"/>
      </w:pPr>
      <w:r w:rsidRPr="00132CF8">
        <w:t>Number of Local System Improvement Plans developed</w:t>
      </w:r>
    </w:p>
    <w:p w:rsidRPr="00132CF8" w:rsidR="00626E93" w:rsidP="00E03F9C" w:rsidRDefault="00636C6C" w14:paraId="1D1DE8CF" w14:textId="2D169FA2">
      <w:pPr>
        <w:pStyle w:val="ListParagraph"/>
        <w:ind w:left="426" w:hanging="426"/>
      </w:pPr>
      <w:r w:rsidRPr="00132CF8">
        <w:t>Number of governance groups with agreed terms of reference, vision, and reporting frameworks</w:t>
      </w:r>
    </w:p>
    <w:p w:rsidRPr="00132CF8" w:rsidR="00213893" w:rsidP="00E03F9C" w:rsidRDefault="00213893" w14:paraId="13976160" w14:textId="2D1196F9">
      <w:pPr>
        <w:pStyle w:val="Heading3"/>
      </w:pPr>
      <w:r w:rsidRPr="00132CF8">
        <w:t xml:space="preserve">An </w:t>
      </w:r>
      <w:r w:rsidRPr="00E03F9C">
        <w:t>integrated</w:t>
      </w:r>
      <w:r w:rsidRPr="00132CF8">
        <w:t xml:space="preserve"> approach to managing high risk of death and serious injury</w:t>
      </w:r>
    </w:p>
    <w:p w:rsidRPr="002049EA" w:rsidR="00636C6C" w:rsidP="002049EA" w:rsidRDefault="00636C6C" w14:paraId="3BE1257B" w14:textId="77777777">
      <w:pPr>
        <w:pStyle w:val="ListParagraph"/>
        <w:ind w:left="426" w:hanging="426"/>
      </w:pPr>
      <w:r w:rsidRPr="002049EA">
        <w:t xml:space="preserve">Number of plans opened for people who use violence (after referral to a multi-agency response) </w:t>
      </w:r>
    </w:p>
    <w:p w:rsidRPr="002049EA" w:rsidR="00636C6C" w:rsidP="002049EA" w:rsidRDefault="00636C6C" w14:paraId="4262D029" w14:textId="77777777">
      <w:pPr>
        <w:pStyle w:val="ListParagraph"/>
        <w:ind w:left="426" w:hanging="426"/>
      </w:pPr>
      <w:r w:rsidRPr="002049EA">
        <w:t xml:space="preserve">Number of plans opened for people experiencing violence (after a referral to a multi-agency response) </w:t>
      </w:r>
    </w:p>
    <w:p w:rsidRPr="002049EA" w:rsidR="00636C6C" w:rsidP="002049EA" w:rsidRDefault="00636C6C" w14:paraId="271A409C" w14:textId="77777777">
      <w:pPr>
        <w:pStyle w:val="ListParagraph"/>
        <w:ind w:left="426" w:hanging="426"/>
      </w:pPr>
      <w:r w:rsidRPr="002049EA">
        <w:t xml:space="preserve">Number of families previously referred that are referred again </w:t>
      </w:r>
    </w:p>
    <w:p w:rsidRPr="00132CF8" w:rsidR="00636C6C" w:rsidP="002049EA" w:rsidRDefault="00636C6C" w14:paraId="74D83557" w14:textId="05479B37">
      <w:pPr>
        <w:pStyle w:val="ListParagraph"/>
        <w:ind w:left="426" w:hanging="426"/>
      </w:pPr>
      <w:r w:rsidRPr="002049EA">
        <w:t>Percentage of victims who report feeling safer 12 weeks after a safety plan is</w:t>
      </w:r>
      <w:r w:rsidRPr="00132CF8">
        <w:t xml:space="preserve"> initiated</w:t>
      </w:r>
    </w:p>
    <w:p w:rsidRPr="00132CF8" w:rsidR="00626E93" w:rsidP="002049EA" w:rsidRDefault="00626E93" w14:paraId="56FD2915" w14:textId="4A93493C">
      <w:pPr>
        <w:pStyle w:val="Heading3"/>
      </w:pPr>
      <w:r w:rsidRPr="00132CF8">
        <w:t>Consistent approach to risk</w:t>
      </w:r>
    </w:p>
    <w:p w:rsidRPr="00132CF8" w:rsidR="00E04824" w:rsidP="002049EA" w:rsidRDefault="00E04824" w14:paraId="60697CE9" w14:textId="341E76BD">
      <w:pPr>
        <w:pStyle w:val="ListParagraph"/>
        <w:ind w:left="426" w:hanging="426"/>
      </w:pPr>
      <w:r w:rsidRPr="00132CF8">
        <w:t>Number of organisations that have adopted Family Violence Risk and Safety Practice Framework</w:t>
      </w:r>
    </w:p>
    <w:p w:rsidRPr="00132CF8" w:rsidR="00626E93" w:rsidP="002049EA" w:rsidRDefault="00626E93" w14:paraId="270225A0" w14:textId="5D0C69DD">
      <w:pPr>
        <w:pStyle w:val="Heading3"/>
      </w:pPr>
      <w:r w:rsidRPr="00132CF8">
        <w:t>Improving information sharing systems</w:t>
      </w:r>
    </w:p>
    <w:p w:rsidRPr="0072593F" w:rsidR="00E04824" w:rsidP="00E467B5" w:rsidRDefault="00E04824" w14:paraId="4322086E" w14:textId="2FCAAD7B">
      <w:pPr>
        <w:pStyle w:val="ListParagraph"/>
        <w:ind w:left="426" w:hanging="426"/>
      </w:pPr>
      <w:r w:rsidRPr="0072593F">
        <w:t>Number of agencies and organisations that endorse the operating model for Project Whetū</w:t>
      </w:r>
    </w:p>
    <w:p w:rsidRPr="00132CF8" w:rsidR="00E04824" w:rsidP="00E467B5" w:rsidRDefault="00E04824" w14:paraId="50AD9587" w14:textId="4160A024">
      <w:pPr>
        <w:pStyle w:val="ListParagraph"/>
        <w:ind w:left="426" w:hanging="426"/>
      </w:pPr>
      <w:r w:rsidRPr="0072593F">
        <w:t>Indicators aligning multi-agency and youth offending will developed</w:t>
      </w:r>
      <w:r w:rsidRPr="00132CF8">
        <w:t xml:space="preserve"> as part of the planning for this activity</w:t>
      </w:r>
    </w:p>
    <w:p w:rsidRPr="00132CF8" w:rsidR="00626E93" w:rsidP="002049EA" w:rsidRDefault="00626E93" w14:paraId="50EEE55A" w14:textId="050595C0">
      <w:pPr>
        <w:pStyle w:val="Heading3"/>
      </w:pPr>
      <w:r w:rsidRPr="00132CF8">
        <w:t>Joined-up approaches to children and young people</w:t>
      </w:r>
    </w:p>
    <w:p w:rsidRPr="0072593F" w:rsidR="00D9533D" w:rsidP="0072593F" w:rsidRDefault="00D9533D" w14:paraId="1DF0F236" w14:textId="6D75ED49">
      <w:pPr>
        <w:pStyle w:val="ListParagraph"/>
        <w:ind w:left="426" w:hanging="426"/>
      </w:pPr>
      <w:r w:rsidRPr="0072593F">
        <w:t>TBC; indicators aligning multi-agency and youth offending will developed as part of the planning for this activity</w:t>
      </w:r>
    </w:p>
    <w:p w:rsidRPr="0072593F" w:rsidR="00E45F56" w:rsidP="0072593F" w:rsidRDefault="00E45F56" w14:paraId="45805ADE" w14:textId="6C5D0556">
      <w:pPr>
        <w:pStyle w:val="ListParagraph"/>
        <w:ind w:left="426" w:hanging="426"/>
      </w:pPr>
      <w:r w:rsidRPr="0072593F">
        <w:t>Percentage of children who are referred to a multiagency response who have previous flags for being a victim of family violence</w:t>
      </w:r>
    </w:p>
    <w:p w:rsidRPr="00132CF8" w:rsidR="00213893" w:rsidP="00315F35" w:rsidRDefault="00213893" w14:paraId="26382A0A" w14:textId="77692293">
      <w:pPr>
        <w:pStyle w:val="Heading2"/>
      </w:pPr>
      <w:r w:rsidRPr="00132CF8">
        <w:t>Stopping violence</w:t>
      </w:r>
    </w:p>
    <w:p w:rsidRPr="00132CF8" w:rsidR="00213893" w:rsidP="00590A60" w:rsidRDefault="00601772" w14:paraId="0E874B87" w14:textId="1B742E4D">
      <w:pPr>
        <w:pStyle w:val="Heading3"/>
      </w:pPr>
      <w:r w:rsidRPr="00132CF8">
        <w:t>Provide the right interventions and services</w:t>
      </w:r>
    </w:p>
    <w:p w:rsidRPr="00132CF8" w:rsidR="00213893" w:rsidP="00590A60" w:rsidRDefault="00C47FE4" w14:paraId="1886FD3F" w14:textId="653F7CAF">
      <w:pPr>
        <w:pStyle w:val="ListParagraph"/>
        <w:ind w:left="426" w:hanging="426"/>
      </w:pPr>
      <w:r w:rsidRPr="00132CF8">
        <w:lastRenderedPageBreak/>
        <w:t>Number of service concepts signed off and services being delivered</w:t>
      </w:r>
    </w:p>
    <w:p w:rsidRPr="00132CF8" w:rsidR="00C47FE4" w:rsidP="00590A60" w:rsidRDefault="00C47FE4" w14:paraId="4A4D6DC4" w14:textId="3197460E">
      <w:pPr>
        <w:pStyle w:val="ListParagraph"/>
        <w:ind w:left="426" w:hanging="426"/>
      </w:pPr>
      <w:r w:rsidRPr="00132CF8">
        <w:t>Number of additional victims/survivors receiving safety programmes in the criminal court</w:t>
      </w:r>
    </w:p>
    <w:p w:rsidR="00154764" w:rsidRDefault="00154764" w14:paraId="10256126" w14:textId="77777777">
      <w:pPr>
        <w:rPr>
          <w:rFonts w:eastAsia="Times New Roman"/>
          <w:b/>
          <w:color w:val="293D8A"/>
          <w:kern w:val="0"/>
          <w:sz w:val="32"/>
          <w:szCs w:val="32"/>
          <w:lang w:eastAsia="ja-JP"/>
          <w14:ligatures w14:val="none"/>
        </w:rPr>
      </w:pPr>
      <w:r>
        <w:br w:type="page"/>
      </w:r>
    </w:p>
    <w:p w:rsidRPr="00132CF8" w:rsidR="00B37D3A" w:rsidP="00264F8D" w:rsidRDefault="004B7E35" w14:paraId="0E5AA756" w14:textId="17436925">
      <w:pPr>
        <w:pStyle w:val="Heading1"/>
      </w:pPr>
      <w:r w:rsidRPr="00132CF8">
        <w:lastRenderedPageBreak/>
        <w:t>OMF</w:t>
      </w:r>
      <w:r w:rsidRPr="00132CF8" w:rsidR="00A91AE5">
        <w:t xml:space="preserve"> outcomes </w:t>
      </w:r>
      <w:r w:rsidRPr="00132CF8">
        <w:t>are</w:t>
      </w:r>
      <w:r w:rsidRPr="00132CF8" w:rsidR="00A91AE5">
        <w:t xml:space="preserve"> supported by the seven focus areas</w:t>
      </w:r>
    </w:p>
    <w:p w:rsidRPr="00132CF8" w:rsidR="006C5522" w:rsidP="00264F8D" w:rsidRDefault="00C711C0" w14:paraId="4B453830" w14:textId="77777777">
      <w:r w:rsidRPr="00132CF8">
        <w:t xml:space="preserve">Each focus area contributes to different outcomes in different ways. </w:t>
      </w:r>
    </w:p>
    <w:p w:rsidRPr="00132CF8" w:rsidR="009C5349" w:rsidP="00264F8D" w:rsidRDefault="00125EF6" w14:paraId="7F0D5EFA" w14:textId="5A212DC9">
      <w:r w:rsidRPr="00132CF8">
        <w:t xml:space="preserve">For example, there is a long term outcome that “Government agencies’ family violence and sexual violence approaches are strength-based and contribute to wellbeing”. Under this </w:t>
      </w:r>
      <w:r w:rsidRPr="00132CF8" w:rsidR="00737C49">
        <w:t>short term outcomes include “Improved coordination and alignment within and across government agencies at local, regional, and national levels” and “More government agencies understand their roles, responsibilities, and opportunities in eliminating family violence and sexual violence”.</w:t>
      </w:r>
    </w:p>
    <w:p w:rsidRPr="00132CF8" w:rsidR="006C5522" w:rsidP="00264F8D" w:rsidRDefault="006C5522" w14:paraId="1DFE0505" w14:textId="104E0B71">
      <w:r w:rsidRPr="00132CF8">
        <w:t>Another long term outcome is that “Tangata whenua, communities and specialist sectors lead effective family violence and sexual violence approaches and share knowledge”. Short term outcomes under this include “</w:t>
      </w:r>
      <w:r w:rsidRPr="00132CF8" w:rsidR="000F2034">
        <w:t>More locally and regionally delivered, effective family violence and sexual violence approaches” and “Increased tangata whenua and community leadership to eliminate family violence and sexual violence”</w:t>
      </w:r>
      <w:r w:rsidRPr="00132CF8" w:rsidR="00B659D4">
        <w:t xml:space="preserve">. </w:t>
      </w:r>
    </w:p>
    <w:p w:rsidRPr="00132CF8" w:rsidR="00A54B80" w:rsidP="00264F8D" w:rsidRDefault="00A54B80" w14:paraId="0B5917FD" w14:textId="31E3540F">
      <w:r w:rsidRPr="00132CF8">
        <w:t xml:space="preserve">Another long term outcome that “People who use violence are held accountable and supported to change their behaviour” is a short term outcome where “More people who use or have used violence can access effective early services and supports”. </w:t>
      </w:r>
    </w:p>
    <w:p w:rsidRPr="00132CF8" w:rsidR="008A173D" w:rsidP="00264F8D" w:rsidRDefault="008A173D" w14:paraId="5BC5ADD4" w14:textId="77777777"/>
    <w:sectPr w:rsidRPr="00132CF8" w:rsidR="008A173D" w:rsidSect="00427570">
      <w:headerReference w:type="even" r:id="rId12"/>
      <w:headerReference w:type="default" r:id="rId13"/>
      <w:footerReference w:type="even" r:id="rId14"/>
      <w:footerReference w:type="default" r:id="rId15"/>
      <w:headerReference w:type="first" r:id="rId16"/>
      <w:footerReference w:type="first" r:id="rId17"/>
      <w:pgSz w:w="11906" w:h="16838" w:orient="portrait"/>
      <w:pgMar w:top="21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441" w:rsidP="00264F8D" w:rsidRDefault="00D73441" w14:paraId="0700506F" w14:textId="77777777">
      <w:r>
        <w:separator/>
      </w:r>
    </w:p>
  </w:endnote>
  <w:endnote w:type="continuationSeparator" w:id="0">
    <w:p w:rsidR="00D73441" w:rsidP="00264F8D" w:rsidRDefault="00D73441" w14:paraId="386A2A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652" w:rsidRDefault="00337652" w14:paraId="287BCA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652" w:rsidRDefault="00337652" w14:paraId="57AD17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652" w:rsidRDefault="00337652" w14:paraId="3F5953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441" w:rsidP="00264F8D" w:rsidRDefault="00D73441" w14:paraId="4CCAED42" w14:textId="77777777">
      <w:r>
        <w:separator/>
      </w:r>
    </w:p>
  </w:footnote>
  <w:footnote w:type="continuationSeparator" w:id="0">
    <w:p w:rsidR="00D73441" w:rsidP="00264F8D" w:rsidRDefault="00D73441" w14:paraId="42623ABE" w14:textId="77777777">
      <w:r>
        <w:continuationSeparator/>
      </w:r>
    </w:p>
  </w:footnote>
  <w:footnote w:id="1">
    <w:p w:rsidRPr="00130714" w:rsidR="00130714" w:rsidP="00264F8D" w:rsidRDefault="00130714" w14:paraId="3905B553" w14:textId="7A35BE3C">
      <w:pPr>
        <w:pStyle w:val="FootnoteText"/>
        <w:rPr>
          <w:lang w:val="en-US"/>
        </w:rPr>
      </w:pPr>
      <w:r>
        <w:rPr>
          <w:rStyle w:val="FootnoteReference"/>
        </w:rPr>
        <w:footnoteRef/>
      </w:r>
      <w:r>
        <w:t xml:space="preserve"> Te Tai Tokerau</w:t>
      </w:r>
      <w:r w:rsidR="007F4F10">
        <w:t xml:space="preserve">, </w:t>
      </w:r>
      <w:r>
        <w:t>Tāmaki Makaurau</w:t>
      </w:r>
      <w:r w:rsidR="007F4F10">
        <w:t xml:space="preserve">, </w:t>
      </w:r>
      <w:r w:rsidR="00A30109">
        <w:t>Bay of Plenty</w:t>
      </w:r>
      <w:r w:rsidR="007F4F10">
        <w:t>,</w:t>
      </w:r>
      <w:r w:rsidR="00A30109">
        <w:t xml:space="preserve"> Hawkes Bay/Tairāwhiti</w:t>
      </w:r>
      <w:r w:rsidR="007F4F10">
        <w:t xml:space="preserve">, Central, </w:t>
      </w:r>
      <w:r w:rsidR="00B846A3">
        <w:t xml:space="preserve">and </w:t>
      </w:r>
      <w:r w:rsidR="00B342E8">
        <w:t xml:space="preserve">Canterbury. </w:t>
      </w:r>
    </w:p>
  </w:footnote>
  <w:footnote w:id="2">
    <w:p w:rsidRPr="007F4F10" w:rsidR="007F4F10" w:rsidP="00264F8D" w:rsidRDefault="007F4F10" w14:paraId="28C6E4D5" w14:textId="30755A2E">
      <w:pPr>
        <w:pStyle w:val="FootnoteText"/>
        <w:rPr>
          <w:lang w:val="en-US"/>
        </w:rPr>
      </w:pPr>
      <w:r>
        <w:rPr>
          <w:rStyle w:val="FootnoteReference"/>
        </w:rPr>
        <w:footnoteRef/>
      </w:r>
      <w:r>
        <w:t xml:space="preserve"> </w:t>
      </w:r>
      <w:r w:rsidRPr="007F4F10">
        <w:t>Whangārei/Kaikohe, Kaitaia</w:t>
      </w:r>
      <w:r>
        <w:t xml:space="preserve">, </w:t>
      </w:r>
      <w:r w:rsidRPr="007F4F10">
        <w:t>Auckland City</w:t>
      </w:r>
      <w:r>
        <w:t xml:space="preserve">, </w:t>
      </w:r>
      <w:r w:rsidR="005C4F6E">
        <w:t xml:space="preserve">Waitākere, </w:t>
      </w:r>
      <w:r w:rsidRPr="007F4F10">
        <w:t>Rotorua, Eastern Bay of Plenty</w:t>
      </w:r>
      <w:r>
        <w:t xml:space="preserve">, </w:t>
      </w:r>
      <w:r w:rsidRPr="007F4F10">
        <w:t>Gisborne, Wairoa, Hawkes Bay</w:t>
      </w:r>
      <w:r w:rsidR="00CF7917">
        <w:t>, Taranaki</w:t>
      </w:r>
      <w:r w:rsidR="00B846A3">
        <w:t>,</w:t>
      </w:r>
      <w:r w:rsidR="00CF7917">
        <w:t xml:space="preserve"> Whanganui</w:t>
      </w:r>
      <w:r w:rsidR="00442AE8">
        <w:t xml:space="preserve">, </w:t>
      </w:r>
      <w:r w:rsidR="005C4F6E">
        <w:t xml:space="preserve">and </w:t>
      </w:r>
      <w:r w:rsidR="00442AE8">
        <w:t>Christchurch</w:t>
      </w:r>
      <w:r w:rsidR="00B846A3">
        <w:t>.</w:t>
      </w:r>
    </w:p>
  </w:footnote>
  <w:footnote w:id="3">
    <w:p w:rsidRPr="00B0697C" w:rsidR="001B0060" w:rsidP="00264F8D" w:rsidRDefault="001B0060" w14:paraId="22D0F004" w14:textId="7DF72FBD">
      <w:pPr>
        <w:pStyle w:val="FootnoteText"/>
        <w:rPr>
          <w:lang w:val="en-US"/>
        </w:rPr>
      </w:pPr>
      <w:r>
        <w:rPr>
          <w:rStyle w:val="FootnoteReference"/>
        </w:rPr>
        <w:footnoteRef/>
      </w:r>
      <w:r>
        <w:t xml:space="preserve"> West Auckland</w:t>
      </w:r>
      <w:r w:rsidRPr="00900F82">
        <w:rPr>
          <w:color w:val="FF0000"/>
        </w:rPr>
        <w:t xml:space="preserve"> </w:t>
      </w:r>
      <w:r>
        <w:t xml:space="preserve">Waitākere, Rotorua, and Christchurch. </w:t>
      </w:r>
    </w:p>
  </w:footnote>
  <w:footnote w:id="4">
    <w:p w:rsidRPr="008A5794" w:rsidR="001B0060" w:rsidP="00264F8D" w:rsidRDefault="001B0060" w14:paraId="2FDBB70E" w14:textId="77777777">
      <w:pPr>
        <w:pStyle w:val="FootnoteText"/>
        <w:rPr>
          <w:lang w:val="en-US"/>
        </w:rPr>
      </w:pPr>
      <w:r>
        <w:rPr>
          <w:rStyle w:val="FootnoteReference"/>
        </w:rPr>
        <w:footnoteRef/>
      </w:r>
      <w:r>
        <w:t xml:space="preserve"> </w:t>
      </w:r>
      <w:r w:rsidRPr="008A5794">
        <w:t>Tāmaki Makaurau</w:t>
      </w:r>
      <w:r>
        <w:t xml:space="preserve">, Bay of Plenty, and Canterbury.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652" w:rsidRDefault="00337652" w14:paraId="54BE64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E703F" w:rsidR="00CE3C14" w:rsidP="00264F8D" w:rsidRDefault="00CE3C14" w14:paraId="5F0886C0" w14:textId="0FA6D4E9">
    <w:pPr>
      <w:pStyle w:val="Header"/>
    </w:pPr>
    <w:r w:rsidRPr="00337652">
      <w:rPr>
        <w:bCs/>
        <w:noProof/>
        <w:sz w:val="20"/>
        <w:szCs w:val="20"/>
      </w:rPr>
      <w:drawing>
        <wp:anchor distT="0" distB="0" distL="114300" distR="114300" simplePos="0" relativeHeight="251659264" behindDoc="1" locked="0" layoutInCell="1" allowOverlap="1" wp14:anchorId="0B13992B" wp14:editId="44C31EF1">
          <wp:simplePos x="0" y="0"/>
          <wp:positionH relativeFrom="column">
            <wp:posOffset>3526526</wp:posOffset>
          </wp:positionH>
          <wp:positionV relativeFrom="paragraph">
            <wp:posOffset>11973</wp:posOffset>
          </wp:positionV>
          <wp:extent cx="2694305" cy="578485"/>
          <wp:effectExtent l="0" t="0" r="0" b="0"/>
          <wp:wrapTight wrapText="bothSides">
            <wp:wrapPolygon edited="0">
              <wp:start x="0" y="0"/>
              <wp:lineTo x="0" y="20628"/>
              <wp:lineTo x="21381" y="20628"/>
              <wp:lineTo x="21381" y="0"/>
              <wp:lineTo x="0" y="0"/>
            </wp:wrapPolygon>
          </wp:wrapTight>
          <wp:docPr id="1027162954" name="Picture 1" descr="Te Puna Aonui logo with purple koru pattern to the left and a tagline underneath the name that says &quot;responding, healing, strengthe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13940" name="Picture 1" descr="Te Puna Aonui logo with purple koru pattern to the left and a tagline underneath the name that says &quot;responding, healing, strengtheni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652">
      <w:rPr>
        <w:bCs/>
        <w:noProof/>
        <w:sz w:val="20"/>
        <w:szCs w:val="20"/>
      </w:rPr>
      <w:t>Summary</w:t>
    </w:r>
    <w:r w:rsidR="00E16B6B">
      <w:rPr>
        <w:bCs/>
        <w:noProof/>
        <w:sz w:val="20"/>
        <w:szCs w:val="20"/>
      </w:rPr>
      <w:t xml:space="preserve"> text</w:t>
    </w:r>
    <w:r w:rsidRPr="00427570">
      <w:rPr>
        <w:sz w:val="20"/>
        <w:szCs w:val="20"/>
      </w:rPr>
      <w:t xml:space="preserve"> of the second Action Plan</w:t>
    </w:r>
  </w:p>
  <w:p w:rsidRPr="00FE703F" w:rsidR="00CE3C14" w:rsidP="00264F8D" w:rsidRDefault="00CE3C14" w14:paraId="6526583A" w14:textId="77777777">
    <w:pPr>
      <w:pStyle w:val="Header"/>
    </w:pPr>
  </w:p>
  <w:p w:rsidR="00CE3C14" w:rsidP="00264F8D" w:rsidRDefault="00CE3C14" w14:paraId="2AA814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652" w:rsidRDefault="00337652" w14:paraId="4A4983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D16"/>
    <w:multiLevelType w:val="hybridMultilevel"/>
    <w:tmpl w:val="E6749FE4"/>
    <w:lvl w:ilvl="0" w:tplc="7DA83CB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B715FC"/>
    <w:multiLevelType w:val="multilevel"/>
    <w:tmpl w:val="581E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572ED"/>
    <w:multiLevelType w:val="hybridMultilevel"/>
    <w:tmpl w:val="9E7A5748"/>
    <w:lvl w:ilvl="0" w:tplc="47422320">
      <w:start w:val="3"/>
      <w:numFmt w:val="decimal"/>
      <w:lvlText w:val="%1."/>
      <w:lvlJc w:val="left"/>
      <w:pPr>
        <w:ind w:left="270" w:hanging="271"/>
      </w:pPr>
      <w:rPr>
        <w:rFonts w:hint="default" w:ascii="Calibri" w:hAnsi="Calibri" w:eastAsia="Calibri" w:cs="Calibri"/>
        <w:b/>
        <w:bCs/>
        <w:i w:val="0"/>
        <w:iCs w:val="0"/>
        <w:color w:val="727272"/>
        <w:spacing w:val="0"/>
        <w:w w:val="105"/>
        <w:sz w:val="22"/>
        <w:szCs w:val="22"/>
        <w:lang w:val="en-US" w:eastAsia="en-US" w:bidi="ar-SA"/>
      </w:rPr>
    </w:lvl>
    <w:lvl w:ilvl="1" w:tplc="FFF648A6">
      <w:numFmt w:val="bullet"/>
      <w:lvlText w:val="•"/>
      <w:lvlJc w:val="left"/>
      <w:pPr>
        <w:ind w:left="627" w:hanging="271"/>
      </w:pPr>
      <w:rPr>
        <w:rFonts w:hint="default"/>
        <w:lang w:val="en-US" w:eastAsia="en-US" w:bidi="ar-SA"/>
      </w:rPr>
    </w:lvl>
    <w:lvl w:ilvl="2" w:tplc="90CEBE02">
      <w:numFmt w:val="bullet"/>
      <w:lvlText w:val="•"/>
      <w:lvlJc w:val="left"/>
      <w:pPr>
        <w:ind w:left="975" w:hanging="271"/>
      </w:pPr>
      <w:rPr>
        <w:rFonts w:hint="default"/>
        <w:lang w:val="en-US" w:eastAsia="en-US" w:bidi="ar-SA"/>
      </w:rPr>
    </w:lvl>
    <w:lvl w:ilvl="3" w:tplc="FEB29CE4">
      <w:numFmt w:val="bullet"/>
      <w:lvlText w:val="•"/>
      <w:lvlJc w:val="left"/>
      <w:pPr>
        <w:ind w:left="1323" w:hanging="271"/>
      </w:pPr>
      <w:rPr>
        <w:rFonts w:hint="default"/>
        <w:lang w:val="en-US" w:eastAsia="en-US" w:bidi="ar-SA"/>
      </w:rPr>
    </w:lvl>
    <w:lvl w:ilvl="4" w:tplc="3F8079EA">
      <w:numFmt w:val="bullet"/>
      <w:lvlText w:val="•"/>
      <w:lvlJc w:val="left"/>
      <w:pPr>
        <w:ind w:left="1671" w:hanging="271"/>
      </w:pPr>
      <w:rPr>
        <w:rFonts w:hint="default"/>
        <w:lang w:val="en-US" w:eastAsia="en-US" w:bidi="ar-SA"/>
      </w:rPr>
    </w:lvl>
    <w:lvl w:ilvl="5" w:tplc="6B287508">
      <w:numFmt w:val="bullet"/>
      <w:lvlText w:val="•"/>
      <w:lvlJc w:val="left"/>
      <w:pPr>
        <w:ind w:left="2018" w:hanging="271"/>
      </w:pPr>
      <w:rPr>
        <w:rFonts w:hint="default"/>
        <w:lang w:val="en-US" w:eastAsia="en-US" w:bidi="ar-SA"/>
      </w:rPr>
    </w:lvl>
    <w:lvl w:ilvl="6" w:tplc="21DC3E08">
      <w:numFmt w:val="bullet"/>
      <w:lvlText w:val="•"/>
      <w:lvlJc w:val="left"/>
      <w:pPr>
        <w:ind w:left="2366" w:hanging="271"/>
      </w:pPr>
      <w:rPr>
        <w:rFonts w:hint="default"/>
        <w:lang w:val="en-US" w:eastAsia="en-US" w:bidi="ar-SA"/>
      </w:rPr>
    </w:lvl>
    <w:lvl w:ilvl="7" w:tplc="3F261E68">
      <w:numFmt w:val="bullet"/>
      <w:lvlText w:val="•"/>
      <w:lvlJc w:val="left"/>
      <w:pPr>
        <w:ind w:left="2714" w:hanging="271"/>
      </w:pPr>
      <w:rPr>
        <w:rFonts w:hint="default"/>
        <w:lang w:val="en-US" w:eastAsia="en-US" w:bidi="ar-SA"/>
      </w:rPr>
    </w:lvl>
    <w:lvl w:ilvl="8" w:tplc="C31A4BBA">
      <w:numFmt w:val="bullet"/>
      <w:lvlText w:val="•"/>
      <w:lvlJc w:val="left"/>
      <w:pPr>
        <w:ind w:left="3062" w:hanging="271"/>
      </w:pPr>
      <w:rPr>
        <w:rFonts w:hint="default"/>
        <w:lang w:val="en-US" w:eastAsia="en-US" w:bidi="ar-SA"/>
      </w:rPr>
    </w:lvl>
  </w:abstractNum>
  <w:abstractNum w:abstractNumId="3" w15:restartNumberingAfterBreak="0">
    <w:nsid w:val="12127087"/>
    <w:multiLevelType w:val="hybridMultilevel"/>
    <w:tmpl w:val="A0BA8130"/>
    <w:lvl w:ilvl="0" w:tplc="1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179A1534"/>
    <w:multiLevelType w:val="hybridMultilevel"/>
    <w:tmpl w:val="51A8199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8C03E46"/>
    <w:multiLevelType w:val="hybridMultilevel"/>
    <w:tmpl w:val="0D46B4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6135351"/>
    <w:multiLevelType w:val="hybridMultilevel"/>
    <w:tmpl w:val="143A67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EF65DD"/>
    <w:multiLevelType w:val="hybridMultilevel"/>
    <w:tmpl w:val="DFAA24E2"/>
    <w:lvl w:ilvl="0" w:tplc="694ABE7E">
      <w:start w:val="1"/>
      <w:numFmt w:val="decimal"/>
      <w:pStyle w:val="ListParagraph"/>
      <w:lvlText w:val="%1."/>
      <w:lvlJc w:val="left"/>
      <w:pPr>
        <w:ind w:left="271" w:hanging="271"/>
      </w:pPr>
      <w:rPr>
        <w:rFonts w:hint="default" w:ascii="Arial" w:hAnsi="Arial" w:eastAsia="Calibri" w:cs="Arial"/>
        <w:b w:val="0"/>
        <w:bCs w:val="0"/>
        <w:i w:val="0"/>
        <w:iCs w:val="0"/>
        <w:color w:val="auto"/>
        <w:spacing w:val="0"/>
        <w:w w:val="105"/>
        <w:sz w:val="24"/>
        <w:szCs w:val="24"/>
      </w:rPr>
    </w:lvl>
    <w:lvl w:ilvl="1" w:tplc="14090019" w:tentative="1">
      <w:start w:val="1"/>
      <w:numFmt w:val="lowerLetter"/>
      <w:lvlText w:val="%2."/>
      <w:lvlJc w:val="left"/>
      <w:pPr>
        <w:ind w:left="1442" w:hanging="360"/>
      </w:pPr>
    </w:lvl>
    <w:lvl w:ilvl="2" w:tplc="1409001B" w:tentative="1">
      <w:start w:val="1"/>
      <w:numFmt w:val="lowerRoman"/>
      <w:lvlText w:val="%3."/>
      <w:lvlJc w:val="right"/>
      <w:pPr>
        <w:ind w:left="2162" w:hanging="180"/>
      </w:pPr>
    </w:lvl>
    <w:lvl w:ilvl="3" w:tplc="1409000F" w:tentative="1">
      <w:start w:val="1"/>
      <w:numFmt w:val="decimal"/>
      <w:lvlText w:val="%4."/>
      <w:lvlJc w:val="left"/>
      <w:pPr>
        <w:ind w:left="2882" w:hanging="360"/>
      </w:pPr>
    </w:lvl>
    <w:lvl w:ilvl="4" w:tplc="14090019" w:tentative="1">
      <w:start w:val="1"/>
      <w:numFmt w:val="lowerLetter"/>
      <w:lvlText w:val="%5."/>
      <w:lvlJc w:val="left"/>
      <w:pPr>
        <w:ind w:left="3602" w:hanging="360"/>
      </w:pPr>
    </w:lvl>
    <w:lvl w:ilvl="5" w:tplc="1409001B" w:tentative="1">
      <w:start w:val="1"/>
      <w:numFmt w:val="lowerRoman"/>
      <w:lvlText w:val="%6."/>
      <w:lvlJc w:val="right"/>
      <w:pPr>
        <w:ind w:left="4322" w:hanging="180"/>
      </w:pPr>
    </w:lvl>
    <w:lvl w:ilvl="6" w:tplc="1409000F" w:tentative="1">
      <w:start w:val="1"/>
      <w:numFmt w:val="decimal"/>
      <w:lvlText w:val="%7."/>
      <w:lvlJc w:val="left"/>
      <w:pPr>
        <w:ind w:left="5042" w:hanging="360"/>
      </w:pPr>
    </w:lvl>
    <w:lvl w:ilvl="7" w:tplc="14090019" w:tentative="1">
      <w:start w:val="1"/>
      <w:numFmt w:val="lowerLetter"/>
      <w:lvlText w:val="%8."/>
      <w:lvlJc w:val="left"/>
      <w:pPr>
        <w:ind w:left="5762" w:hanging="360"/>
      </w:pPr>
    </w:lvl>
    <w:lvl w:ilvl="8" w:tplc="1409001B" w:tentative="1">
      <w:start w:val="1"/>
      <w:numFmt w:val="lowerRoman"/>
      <w:lvlText w:val="%9."/>
      <w:lvlJc w:val="right"/>
      <w:pPr>
        <w:ind w:left="6482" w:hanging="180"/>
      </w:pPr>
    </w:lvl>
  </w:abstractNum>
  <w:abstractNum w:abstractNumId="8" w15:restartNumberingAfterBreak="0">
    <w:nsid w:val="2BC42AF6"/>
    <w:multiLevelType w:val="hybridMultilevel"/>
    <w:tmpl w:val="0E08A452"/>
    <w:lvl w:ilvl="0" w:tplc="C0364B38">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9" w15:restartNumberingAfterBreak="0">
    <w:nsid w:val="2EA07B6E"/>
    <w:multiLevelType w:val="hybridMultilevel"/>
    <w:tmpl w:val="306CF97C"/>
    <w:lvl w:ilvl="0" w:tplc="C0364B38">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F8D7311"/>
    <w:multiLevelType w:val="hybridMultilevel"/>
    <w:tmpl w:val="5A3E6D9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334E717E"/>
    <w:multiLevelType w:val="hybridMultilevel"/>
    <w:tmpl w:val="5F7C6F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4C22EDB"/>
    <w:multiLevelType w:val="hybridMultilevel"/>
    <w:tmpl w:val="27EE2534"/>
    <w:lvl w:ilvl="0" w:tplc="FFFFFFFF">
      <w:start w:val="1"/>
      <w:numFmt w:val="decimal"/>
      <w:lvlText w:val="%1."/>
      <w:lvlJc w:val="left"/>
      <w:pPr>
        <w:ind w:left="269" w:hanging="271"/>
      </w:pPr>
      <w:rPr>
        <w:rFonts w:hint="default" w:ascii="Calibri" w:hAnsi="Calibri" w:eastAsia="Calibri" w:cs="Calibri"/>
        <w:b/>
        <w:bCs/>
        <w:i w:val="0"/>
        <w:iCs w:val="0"/>
        <w:color w:val="auto"/>
        <w:spacing w:val="0"/>
        <w:w w:val="105"/>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062650"/>
    <w:multiLevelType w:val="hybridMultilevel"/>
    <w:tmpl w:val="FC12CB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C1B7F49"/>
    <w:multiLevelType w:val="hybridMultilevel"/>
    <w:tmpl w:val="D848E546"/>
    <w:lvl w:ilvl="0" w:tplc="47422320">
      <w:start w:val="3"/>
      <w:numFmt w:val="decimal"/>
      <w:lvlText w:val="%1."/>
      <w:lvlJc w:val="left"/>
      <w:pPr>
        <w:ind w:left="270" w:hanging="271"/>
      </w:pPr>
      <w:rPr>
        <w:rFonts w:hint="default" w:ascii="Calibri" w:hAnsi="Calibri" w:eastAsia="Calibri" w:cs="Calibri"/>
        <w:b/>
        <w:bCs/>
        <w:i w:val="0"/>
        <w:iCs w:val="0"/>
        <w:color w:val="727272"/>
        <w:spacing w:val="0"/>
        <w:w w:val="105"/>
        <w:sz w:val="22"/>
        <w:szCs w:val="22"/>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DAB58D3"/>
    <w:multiLevelType w:val="hybridMultilevel"/>
    <w:tmpl w:val="0D46B4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5A1E6C"/>
    <w:multiLevelType w:val="hybridMultilevel"/>
    <w:tmpl w:val="2B583F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0945043"/>
    <w:multiLevelType w:val="hybridMultilevel"/>
    <w:tmpl w:val="AD6EFF1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6DB629B7"/>
    <w:multiLevelType w:val="hybridMultilevel"/>
    <w:tmpl w:val="80A01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2517A6"/>
    <w:multiLevelType w:val="hybridMultilevel"/>
    <w:tmpl w:val="4E92CD5E"/>
    <w:lvl w:ilvl="0" w:tplc="1409000F">
      <w:start w:val="1"/>
      <w:numFmt w:val="decimal"/>
      <w:lvlText w:val="%1."/>
      <w:lvlJc w:val="left"/>
      <w:pPr>
        <w:ind w:left="360" w:hanging="360"/>
      </w:pPr>
    </w:lvl>
    <w:lvl w:ilvl="1" w:tplc="14090001">
      <w:start w:val="1"/>
      <w:numFmt w:val="bullet"/>
      <w:lvlText w:val=""/>
      <w:lvlJc w:val="left"/>
      <w:pPr>
        <w:ind w:left="360" w:hanging="360"/>
      </w:pPr>
      <w:rPr>
        <w:rFonts w:hint="default" w:ascii="Symbol" w:hAnsi="Symbol"/>
      </w:rPr>
    </w:lvl>
    <w:lvl w:ilvl="2" w:tplc="14090001">
      <w:start w:val="1"/>
      <w:numFmt w:val="bullet"/>
      <w:lvlText w:val=""/>
      <w:lvlJc w:val="left"/>
      <w:pPr>
        <w:ind w:left="360" w:hanging="360"/>
      </w:pPr>
      <w:rPr>
        <w:rFonts w:hint="default" w:ascii="Symbol" w:hAnsi="Symbol"/>
      </w:r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E8A3D74"/>
    <w:multiLevelType w:val="hybridMultilevel"/>
    <w:tmpl w:val="56A69CCC"/>
    <w:lvl w:ilvl="0" w:tplc="CE10EF3E">
      <w:start w:val="1"/>
      <w:numFmt w:val="decimal"/>
      <w:lvlText w:val="%1."/>
      <w:lvlJc w:val="left"/>
      <w:pPr>
        <w:ind w:left="269" w:hanging="271"/>
      </w:pPr>
      <w:rPr>
        <w:rFonts w:hint="default" w:ascii="Calibri" w:hAnsi="Calibri" w:eastAsia="Calibri" w:cs="Calibri"/>
        <w:b/>
        <w:bCs/>
        <w:i w:val="0"/>
        <w:iCs w:val="0"/>
        <w:color w:val="727272"/>
        <w:spacing w:val="0"/>
        <w:w w:val="105"/>
        <w:sz w:val="22"/>
        <w:szCs w:val="22"/>
        <w:lang w:val="en-US" w:eastAsia="en-US" w:bidi="ar-SA"/>
      </w:rPr>
    </w:lvl>
    <w:lvl w:ilvl="1" w:tplc="14090019" w:tentative="1">
      <w:start w:val="1"/>
      <w:numFmt w:val="lowerLetter"/>
      <w:lvlText w:val="%2."/>
      <w:lvlJc w:val="left"/>
      <w:pPr>
        <w:ind w:left="1439" w:hanging="360"/>
      </w:pPr>
    </w:lvl>
    <w:lvl w:ilvl="2" w:tplc="1409001B" w:tentative="1">
      <w:start w:val="1"/>
      <w:numFmt w:val="lowerRoman"/>
      <w:lvlText w:val="%3."/>
      <w:lvlJc w:val="right"/>
      <w:pPr>
        <w:ind w:left="2159" w:hanging="180"/>
      </w:pPr>
    </w:lvl>
    <w:lvl w:ilvl="3" w:tplc="1409000F" w:tentative="1">
      <w:start w:val="1"/>
      <w:numFmt w:val="decimal"/>
      <w:lvlText w:val="%4."/>
      <w:lvlJc w:val="left"/>
      <w:pPr>
        <w:ind w:left="2879" w:hanging="360"/>
      </w:pPr>
    </w:lvl>
    <w:lvl w:ilvl="4" w:tplc="14090019" w:tentative="1">
      <w:start w:val="1"/>
      <w:numFmt w:val="lowerLetter"/>
      <w:lvlText w:val="%5."/>
      <w:lvlJc w:val="left"/>
      <w:pPr>
        <w:ind w:left="3599" w:hanging="360"/>
      </w:pPr>
    </w:lvl>
    <w:lvl w:ilvl="5" w:tplc="1409001B" w:tentative="1">
      <w:start w:val="1"/>
      <w:numFmt w:val="lowerRoman"/>
      <w:lvlText w:val="%6."/>
      <w:lvlJc w:val="right"/>
      <w:pPr>
        <w:ind w:left="4319" w:hanging="180"/>
      </w:pPr>
    </w:lvl>
    <w:lvl w:ilvl="6" w:tplc="1409000F" w:tentative="1">
      <w:start w:val="1"/>
      <w:numFmt w:val="decimal"/>
      <w:lvlText w:val="%7."/>
      <w:lvlJc w:val="left"/>
      <w:pPr>
        <w:ind w:left="5039" w:hanging="360"/>
      </w:pPr>
    </w:lvl>
    <w:lvl w:ilvl="7" w:tplc="14090019" w:tentative="1">
      <w:start w:val="1"/>
      <w:numFmt w:val="lowerLetter"/>
      <w:lvlText w:val="%8."/>
      <w:lvlJc w:val="left"/>
      <w:pPr>
        <w:ind w:left="5759" w:hanging="360"/>
      </w:pPr>
    </w:lvl>
    <w:lvl w:ilvl="8" w:tplc="1409001B" w:tentative="1">
      <w:start w:val="1"/>
      <w:numFmt w:val="lowerRoman"/>
      <w:lvlText w:val="%9."/>
      <w:lvlJc w:val="right"/>
      <w:pPr>
        <w:ind w:left="6479" w:hanging="180"/>
      </w:pPr>
    </w:lvl>
  </w:abstractNum>
  <w:num w:numId="1" w16cid:durableId="289557392">
    <w:abstractNumId w:val="16"/>
  </w:num>
  <w:num w:numId="2" w16cid:durableId="1269238058">
    <w:abstractNumId w:val="2"/>
  </w:num>
  <w:num w:numId="3" w16cid:durableId="1950814071">
    <w:abstractNumId w:val="1"/>
  </w:num>
  <w:num w:numId="4" w16cid:durableId="2108306816">
    <w:abstractNumId w:val="10"/>
  </w:num>
  <w:num w:numId="5" w16cid:durableId="2081520833">
    <w:abstractNumId w:val="13"/>
  </w:num>
  <w:num w:numId="6" w16cid:durableId="608321404">
    <w:abstractNumId w:val="0"/>
  </w:num>
  <w:num w:numId="7" w16cid:durableId="1923251980">
    <w:abstractNumId w:val="14"/>
  </w:num>
  <w:num w:numId="8" w16cid:durableId="355008521">
    <w:abstractNumId w:val="20"/>
  </w:num>
  <w:num w:numId="9" w16cid:durableId="643122277">
    <w:abstractNumId w:val="7"/>
  </w:num>
  <w:num w:numId="10" w16cid:durableId="1309286670">
    <w:abstractNumId w:val="12"/>
  </w:num>
  <w:num w:numId="11" w16cid:durableId="864245754">
    <w:abstractNumId w:val="3"/>
  </w:num>
  <w:num w:numId="12" w16cid:durableId="7950672">
    <w:abstractNumId w:val="11"/>
  </w:num>
  <w:num w:numId="13" w16cid:durableId="1708869142">
    <w:abstractNumId w:val="19"/>
  </w:num>
  <w:num w:numId="14" w16cid:durableId="1775904840">
    <w:abstractNumId w:val="5"/>
  </w:num>
  <w:num w:numId="15" w16cid:durableId="1425878816">
    <w:abstractNumId w:val="4"/>
  </w:num>
  <w:num w:numId="16" w16cid:durableId="507015522">
    <w:abstractNumId w:val="18"/>
  </w:num>
  <w:num w:numId="17" w16cid:durableId="760295904">
    <w:abstractNumId w:val="6"/>
  </w:num>
  <w:num w:numId="18" w16cid:durableId="1569028304">
    <w:abstractNumId w:val="15"/>
  </w:num>
  <w:num w:numId="19" w16cid:durableId="500245194">
    <w:abstractNumId w:val="17"/>
  </w:num>
  <w:num w:numId="20" w16cid:durableId="204635706">
    <w:abstractNumId w:val="9"/>
  </w:num>
  <w:num w:numId="21" w16cid:durableId="2100829471">
    <w:abstractNumId w:val="9"/>
  </w:num>
  <w:num w:numId="22" w16cid:durableId="547424042">
    <w:abstractNumId w:val="7"/>
    <w:lvlOverride w:ilvl="0">
      <w:startOverride w:val="1"/>
    </w:lvlOverride>
  </w:num>
  <w:num w:numId="23" w16cid:durableId="684866421">
    <w:abstractNumId w:val="7"/>
  </w:num>
  <w:num w:numId="24" w16cid:durableId="1765417737">
    <w:abstractNumId w:val="7"/>
  </w:num>
  <w:num w:numId="25" w16cid:durableId="68188134">
    <w:abstractNumId w:val="7"/>
  </w:num>
  <w:num w:numId="26" w16cid:durableId="2070109889">
    <w:abstractNumId w:val="7"/>
    <w:lvlOverride w:ilvl="0">
      <w:startOverride w:val="1"/>
    </w:lvlOverride>
  </w:num>
  <w:num w:numId="27" w16cid:durableId="1342123720">
    <w:abstractNumId w:val="7"/>
  </w:num>
  <w:num w:numId="28" w16cid:durableId="90274164">
    <w:abstractNumId w:val="7"/>
    <w:lvlOverride w:ilvl="0">
      <w:startOverride w:val="1"/>
    </w:lvlOverride>
  </w:num>
  <w:num w:numId="29" w16cid:durableId="942881884">
    <w:abstractNumId w:val="7"/>
  </w:num>
  <w:num w:numId="30" w16cid:durableId="1249772584">
    <w:abstractNumId w:val="7"/>
  </w:num>
  <w:num w:numId="31" w16cid:durableId="1174806976">
    <w:abstractNumId w:val="7"/>
  </w:num>
  <w:num w:numId="32" w16cid:durableId="1739790320">
    <w:abstractNumId w:val="8"/>
  </w:num>
  <w:num w:numId="33" w16cid:durableId="645089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2C"/>
    <w:rsid w:val="0000730E"/>
    <w:rsid w:val="00024373"/>
    <w:rsid w:val="00031CDD"/>
    <w:rsid w:val="0003559D"/>
    <w:rsid w:val="00042AE5"/>
    <w:rsid w:val="00043093"/>
    <w:rsid w:val="000470E6"/>
    <w:rsid w:val="000561FB"/>
    <w:rsid w:val="000614F7"/>
    <w:rsid w:val="0006260D"/>
    <w:rsid w:val="00064E57"/>
    <w:rsid w:val="00071922"/>
    <w:rsid w:val="00072550"/>
    <w:rsid w:val="000808B2"/>
    <w:rsid w:val="00085C28"/>
    <w:rsid w:val="00086141"/>
    <w:rsid w:val="000914AF"/>
    <w:rsid w:val="0009153B"/>
    <w:rsid w:val="000A1914"/>
    <w:rsid w:val="000B5367"/>
    <w:rsid w:val="000D3E06"/>
    <w:rsid w:val="000E2E59"/>
    <w:rsid w:val="000E4361"/>
    <w:rsid w:val="000F0A24"/>
    <w:rsid w:val="000F2034"/>
    <w:rsid w:val="000F2FA1"/>
    <w:rsid w:val="00105B72"/>
    <w:rsid w:val="00122B8D"/>
    <w:rsid w:val="00125EF6"/>
    <w:rsid w:val="00130714"/>
    <w:rsid w:val="00132CF8"/>
    <w:rsid w:val="0014259F"/>
    <w:rsid w:val="00154764"/>
    <w:rsid w:val="00157CC8"/>
    <w:rsid w:val="00170523"/>
    <w:rsid w:val="00170C84"/>
    <w:rsid w:val="001739E3"/>
    <w:rsid w:val="00175551"/>
    <w:rsid w:val="00185B70"/>
    <w:rsid w:val="001871A4"/>
    <w:rsid w:val="0019329D"/>
    <w:rsid w:val="001A216A"/>
    <w:rsid w:val="001B0060"/>
    <w:rsid w:val="001B543C"/>
    <w:rsid w:val="001B5B0A"/>
    <w:rsid w:val="001B6FE7"/>
    <w:rsid w:val="001C00A5"/>
    <w:rsid w:val="001C2094"/>
    <w:rsid w:val="001C60A1"/>
    <w:rsid w:val="001C7022"/>
    <w:rsid w:val="001D4144"/>
    <w:rsid w:val="001D4B84"/>
    <w:rsid w:val="001D4F61"/>
    <w:rsid w:val="001E0868"/>
    <w:rsid w:val="001E14E2"/>
    <w:rsid w:val="001E2452"/>
    <w:rsid w:val="001E26BC"/>
    <w:rsid w:val="001E405D"/>
    <w:rsid w:val="001F0A5E"/>
    <w:rsid w:val="001F3899"/>
    <w:rsid w:val="001F4228"/>
    <w:rsid w:val="001F60C1"/>
    <w:rsid w:val="00203127"/>
    <w:rsid w:val="002049EA"/>
    <w:rsid w:val="00207E31"/>
    <w:rsid w:val="00213893"/>
    <w:rsid w:val="002168AE"/>
    <w:rsid w:val="00223F98"/>
    <w:rsid w:val="00224F3A"/>
    <w:rsid w:val="00234B19"/>
    <w:rsid w:val="002401DD"/>
    <w:rsid w:val="00240A2F"/>
    <w:rsid w:val="002416AB"/>
    <w:rsid w:val="00244919"/>
    <w:rsid w:val="00244B80"/>
    <w:rsid w:val="00245F0F"/>
    <w:rsid w:val="00247294"/>
    <w:rsid w:val="00252B3E"/>
    <w:rsid w:val="002629C4"/>
    <w:rsid w:val="00264F8D"/>
    <w:rsid w:val="00267B43"/>
    <w:rsid w:val="002910AA"/>
    <w:rsid w:val="00296897"/>
    <w:rsid w:val="002A1C37"/>
    <w:rsid w:val="002D1839"/>
    <w:rsid w:val="002E2354"/>
    <w:rsid w:val="002E2A45"/>
    <w:rsid w:val="002F0730"/>
    <w:rsid w:val="002F08D5"/>
    <w:rsid w:val="002F34A2"/>
    <w:rsid w:val="002F63F1"/>
    <w:rsid w:val="003024A6"/>
    <w:rsid w:val="00306A80"/>
    <w:rsid w:val="00312224"/>
    <w:rsid w:val="00315F35"/>
    <w:rsid w:val="00321F89"/>
    <w:rsid w:val="0032259D"/>
    <w:rsid w:val="00323153"/>
    <w:rsid w:val="0032671C"/>
    <w:rsid w:val="00327A7A"/>
    <w:rsid w:val="00337652"/>
    <w:rsid w:val="00352A1B"/>
    <w:rsid w:val="003539C3"/>
    <w:rsid w:val="00354D69"/>
    <w:rsid w:val="00361ABC"/>
    <w:rsid w:val="00362871"/>
    <w:rsid w:val="00362A9F"/>
    <w:rsid w:val="00363E8C"/>
    <w:rsid w:val="00390ED4"/>
    <w:rsid w:val="003A26AC"/>
    <w:rsid w:val="003A66DA"/>
    <w:rsid w:val="003B05DF"/>
    <w:rsid w:val="003C11E1"/>
    <w:rsid w:val="003C4C60"/>
    <w:rsid w:val="003C53DC"/>
    <w:rsid w:val="003D1BF8"/>
    <w:rsid w:val="003E3177"/>
    <w:rsid w:val="00402201"/>
    <w:rsid w:val="00403429"/>
    <w:rsid w:val="00414896"/>
    <w:rsid w:val="00427570"/>
    <w:rsid w:val="00440AEF"/>
    <w:rsid w:val="00442AE8"/>
    <w:rsid w:val="0044699A"/>
    <w:rsid w:val="004620E6"/>
    <w:rsid w:val="00463DAE"/>
    <w:rsid w:val="00471CCF"/>
    <w:rsid w:val="004727C1"/>
    <w:rsid w:val="004740BF"/>
    <w:rsid w:val="004765CC"/>
    <w:rsid w:val="00486CCC"/>
    <w:rsid w:val="004945A3"/>
    <w:rsid w:val="004965DE"/>
    <w:rsid w:val="004A07FE"/>
    <w:rsid w:val="004A1F51"/>
    <w:rsid w:val="004A6D9D"/>
    <w:rsid w:val="004B7E35"/>
    <w:rsid w:val="004C3232"/>
    <w:rsid w:val="004C5821"/>
    <w:rsid w:val="004D17E5"/>
    <w:rsid w:val="004E0156"/>
    <w:rsid w:val="004F0425"/>
    <w:rsid w:val="00503434"/>
    <w:rsid w:val="00506959"/>
    <w:rsid w:val="00525276"/>
    <w:rsid w:val="005353FC"/>
    <w:rsid w:val="0053555D"/>
    <w:rsid w:val="00555AAC"/>
    <w:rsid w:val="005578BF"/>
    <w:rsid w:val="005626AC"/>
    <w:rsid w:val="00567F52"/>
    <w:rsid w:val="005719DB"/>
    <w:rsid w:val="00575DC4"/>
    <w:rsid w:val="00585BF1"/>
    <w:rsid w:val="00590A60"/>
    <w:rsid w:val="00597149"/>
    <w:rsid w:val="005A5197"/>
    <w:rsid w:val="005B068B"/>
    <w:rsid w:val="005B30E3"/>
    <w:rsid w:val="005B5209"/>
    <w:rsid w:val="005C0AD8"/>
    <w:rsid w:val="005C4F6E"/>
    <w:rsid w:val="005D5EBF"/>
    <w:rsid w:val="005F77BD"/>
    <w:rsid w:val="00601772"/>
    <w:rsid w:val="0060323F"/>
    <w:rsid w:val="00607148"/>
    <w:rsid w:val="00607DE1"/>
    <w:rsid w:val="00612CC2"/>
    <w:rsid w:val="00614B56"/>
    <w:rsid w:val="006178B2"/>
    <w:rsid w:val="006233F8"/>
    <w:rsid w:val="00626B96"/>
    <w:rsid w:val="00626E93"/>
    <w:rsid w:val="00636C6C"/>
    <w:rsid w:val="00640333"/>
    <w:rsid w:val="00643F71"/>
    <w:rsid w:val="006516F0"/>
    <w:rsid w:val="0065563C"/>
    <w:rsid w:val="006662C7"/>
    <w:rsid w:val="00667C59"/>
    <w:rsid w:val="006A68A2"/>
    <w:rsid w:val="006C5522"/>
    <w:rsid w:val="0071055B"/>
    <w:rsid w:val="00710D50"/>
    <w:rsid w:val="00713BE7"/>
    <w:rsid w:val="0072593F"/>
    <w:rsid w:val="007305E8"/>
    <w:rsid w:val="00732BEE"/>
    <w:rsid w:val="00736D89"/>
    <w:rsid w:val="00737C49"/>
    <w:rsid w:val="007538C8"/>
    <w:rsid w:val="00755E54"/>
    <w:rsid w:val="00756E6A"/>
    <w:rsid w:val="007624C3"/>
    <w:rsid w:val="00770D07"/>
    <w:rsid w:val="007B08B8"/>
    <w:rsid w:val="007B4680"/>
    <w:rsid w:val="007B7660"/>
    <w:rsid w:val="007B7CBD"/>
    <w:rsid w:val="007D154A"/>
    <w:rsid w:val="007D7ECA"/>
    <w:rsid w:val="007E3E09"/>
    <w:rsid w:val="007E6E4F"/>
    <w:rsid w:val="007E6F4D"/>
    <w:rsid w:val="007F4F10"/>
    <w:rsid w:val="007F6F7C"/>
    <w:rsid w:val="0080411D"/>
    <w:rsid w:val="0083117C"/>
    <w:rsid w:val="00833F27"/>
    <w:rsid w:val="00841031"/>
    <w:rsid w:val="008453A2"/>
    <w:rsid w:val="00846215"/>
    <w:rsid w:val="008519CE"/>
    <w:rsid w:val="0085212E"/>
    <w:rsid w:val="008534CC"/>
    <w:rsid w:val="00856C6A"/>
    <w:rsid w:val="00856E73"/>
    <w:rsid w:val="00861BAA"/>
    <w:rsid w:val="00886D69"/>
    <w:rsid w:val="008870AD"/>
    <w:rsid w:val="008967A3"/>
    <w:rsid w:val="008A16FA"/>
    <w:rsid w:val="008A173D"/>
    <w:rsid w:val="008A476B"/>
    <w:rsid w:val="008A5794"/>
    <w:rsid w:val="008A5EB0"/>
    <w:rsid w:val="008B0D84"/>
    <w:rsid w:val="008B1872"/>
    <w:rsid w:val="008B3164"/>
    <w:rsid w:val="008B6081"/>
    <w:rsid w:val="008C0A29"/>
    <w:rsid w:val="008C1E81"/>
    <w:rsid w:val="008C2164"/>
    <w:rsid w:val="008D22B7"/>
    <w:rsid w:val="008D512B"/>
    <w:rsid w:val="008E1839"/>
    <w:rsid w:val="008F2B26"/>
    <w:rsid w:val="008F59BC"/>
    <w:rsid w:val="00900F82"/>
    <w:rsid w:val="00901552"/>
    <w:rsid w:val="00913003"/>
    <w:rsid w:val="0091392C"/>
    <w:rsid w:val="00915C41"/>
    <w:rsid w:val="009169D5"/>
    <w:rsid w:val="00921F6E"/>
    <w:rsid w:val="00934AFB"/>
    <w:rsid w:val="00945247"/>
    <w:rsid w:val="00960032"/>
    <w:rsid w:val="009603FA"/>
    <w:rsid w:val="009604BD"/>
    <w:rsid w:val="009856B9"/>
    <w:rsid w:val="009908A8"/>
    <w:rsid w:val="00992BBB"/>
    <w:rsid w:val="00993C08"/>
    <w:rsid w:val="00997235"/>
    <w:rsid w:val="009A1BAA"/>
    <w:rsid w:val="009B7DF3"/>
    <w:rsid w:val="009C2E66"/>
    <w:rsid w:val="009C5349"/>
    <w:rsid w:val="009D1115"/>
    <w:rsid w:val="009D4E16"/>
    <w:rsid w:val="009D58A3"/>
    <w:rsid w:val="009D61D8"/>
    <w:rsid w:val="009E02A2"/>
    <w:rsid w:val="009E097E"/>
    <w:rsid w:val="009E5F09"/>
    <w:rsid w:val="009F0361"/>
    <w:rsid w:val="009F64DE"/>
    <w:rsid w:val="00A16FF3"/>
    <w:rsid w:val="00A20C59"/>
    <w:rsid w:val="00A22CC5"/>
    <w:rsid w:val="00A2579F"/>
    <w:rsid w:val="00A30109"/>
    <w:rsid w:val="00A32967"/>
    <w:rsid w:val="00A40CB5"/>
    <w:rsid w:val="00A449A2"/>
    <w:rsid w:val="00A45B25"/>
    <w:rsid w:val="00A51350"/>
    <w:rsid w:val="00A51D9C"/>
    <w:rsid w:val="00A5281F"/>
    <w:rsid w:val="00A52D7D"/>
    <w:rsid w:val="00A54B80"/>
    <w:rsid w:val="00A606D0"/>
    <w:rsid w:val="00A61E34"/>
    <w:rsid w:val="00A746BE"/>
    <w:rsid w:val="00A87F2E"/>
    <w:rsid w:val="00A91AE5"/>
    <w:rsid w:val="00AA6A14"/>
    <w:rsid w:val="00AB024C"/>
    <w:rsid w:val="00AC1C8D"/>
    <w:rsid w:val="00AC227F"/>
    <w:rsid w:val="00AD2047"/>
    <w:rsid w:val="00AD3B35"/>
    <w:rsid w:val="00AE24CD"/>
    <w:rsid w:val="00AE3A7E"/>
    <w:rsid w:val="00B05C0C"/>
    <w:rsid w:val="00B0697C"/>
    <w:rsid w:val="00B12C0B"/>
    <w:rsid w:val="00B14C53"/>
    <w:rsid w:val="00B14DB9"/>
    <w:rsid w:val="00B165D1"/>
    <w:rsid w:val="00B23B38"/>
    <w:rsid w:val="00B26D16"/>
    <w:rsid w:val="00B342E8"/>
    <w:rsid w:val="00B348F4"/>
    <w:rsid w:val="00B3500E"/>
    <w:rsid w:val="00B37D3A"/>
    <w:rsid w:val="00B46C9A"/>
    <w:rsid w:val="00B529EB"/>
    <w:rsid w:val="00B54710"/>
    <w:rsid w:val="00B549FC"/>
    <w:rsid w:val="00B61851"/>
    <w:rsid w:val="00B65300"/>
    <w:rsid w:val="00B659D4"/>
    <w:rsid w:val="00B81862"/>
    <w:rsid w:val="00B82180"/>
    <w:rsid w:val="00B846A3"/>
    <w:rsid w:val="00B9796F"/>
    <w:rsid w:val="00BB6964"/>
    <w:rsid w:val="00BC145B"/>
    <w:rsid w:val="00BD0B6D"/>
    <w:rsid w:val="00BD1615"/>
    <w:rsid w:val="00BD69E8"/>
    <w:rsid w:val="00BD7F47"/>
    <w:rsid w:val="00BE2466"/>
    <w:rsid w:val="00BF2133"/>
    <w:rsid w:val="00BF4943"/>
    <w:rsid w:val="00BF5F0D"/>
    <w:rsid w:val="00C04ED4"/>
    <w:rsid w:val="00C2257C"/>
    <w:rsid w:val="00C25AA8"/>
    <w:rsid w:val="00C25C76"/>
    <w:rsid w:val="00C27227"/>
    <w:rsid w:val="00C403EA"/>
    <w:rsid w:val="00C458D6"/>
    <w:rsid w:val="00C47FE4"/>
    <w:rsid w:val="00C524D9"/>
    <w:rsid w:val="00C641BA"/>
    <w:rsid w:val="00C653C7"/>
    <w:rsid w:val="00C711C0"/>
    <w:rsid w:val="00C72E1D"/>
    <w:rsid w:val="00C74E85"/>
    <w:rsid w:val="00C80CC3"/>
    <w:rsid w:val="00C82782"/>
    <w:rsid w:val="00C9457F"/>
    <w:rsid w:val="00C959E9"/>
    <w:rsid w:val="00C95B08"/>
    <w:rsid w:val="00CB0FFA"/>
    <w:rsid w:val="00CB2414"/>
    <w:rsid w:val="00CB4A24"/>
    <w:rsid w:val="00CC051F"/>
    <w:rsid w:val="00CD1921"/>
    <w:rsid w:val="00CD2504"/>
    <w:rsid w:val="00CD392B"/>
    <w:rsid w:val="00CD49FC"/>
    <w:rsid w:val="00CE3C14"/>
    <w:rsid w:val="00CE4C9A"/>
    <w:rsid w:val="00CF6C03"/>
    <w:rsid w:val="00CF7917"/>
    <w:rsid w:val="00D003E9"/>
    <w:rsid w:val="00D1682F"/>
    <w:rsid w:val="00D339C7"/>
    <w:rsid w:val="00D45D64"/>
    <w:rsid w:val="00D514D2"/>
    <w:rsid w:val="00D5500F"/>
    <w:rsid w:val="00D65568"/>
    <w:rsid w:val="00D65F73"/>
    <w:rsid w:val="00D73441"/>
    <w:rsid w:val="00D86763"/>
    <w:rsid w:val="00D91CD1"/>
    <w:rsid w:val="00D9379B"/>
    <w:rsid w:val="00D9533D"/>
    <w:rsid w:val="00DA2530"/>
    <w:rsid w:val="00DA31A4"/>
    <w:rsid w:val="00DB2967"/>
    <w:rsid w:val="00DB2FFD"/>
    <w:rsid w:val="00DC2F73"/>
    <w:rsid w:val="00DC6743"/>
    <w:rsid w:val="00DD0AAD"/>
    <w:rsid w:val="00DD59BF"/>
    <w:rsid w:val="00DE7331"/>
    <w:rsid w:val="00DE78B1"/>
    <w:rsid w:val="00DF2323"/>
    <w:rsid w:val="00E01293"/>
    <w:rsid w:val="00E03F9C"/>
    <w:rsid w:val="00E041AE"/>
    <w:rsid w:val="00E04824"/>
    <w:rsid w:val="00E16B6B"/>
    <w:rsid w:val="00E17CF1"/>
    <w:rsid w:val="00E17E88"/>
    <w:rsid w:val="00E22D05"/>
    <w:rsid w:val="00E27BD6"/>
    <w:rsid w:val="00E40649"/>
    <w:rsid w:val="00E45F56"/>
    <w:rsid w:val="00E467B5"/>
    <w:rsid w:val="00E61D21"/>
    <w:rsid w:val="00E64C8F"/>
    <w:rsid w:val="00E8222F"/>
    <w:rsid w:val="00E92E7F"/>
    <w:rsid w:val="00E9406A"/>
    <w:rsid w:val="00E96A68"/>
    <w:rsid w:val="00EB10B3"/>
    <w:rsid w:val="00EB2797"/>
    <w:rsid w:val="00EC7578"/>
    <w:rsid w:val="00EE191D"/>
    <w:rsid w:val="00EE37CE"/>
    <w:rsid w:val="00F00437"/>
    <w:rsid w:val="00F01786"/>
    <w:rsid w:val="00F026DF"/>
    <w:rsid w:val="00F1131D"/>
    <w:rsid w:val="00F37327"/>
    <w:rsid w:val="00F37371"/>
    <w:rsid w:val="00F46379"/>
    <w:rsid w:val="00F475E6"/>
    <w:rsid w:val="00F521DB"/>
    <w:rsid w:val="00F5389E"/>
    <w:rsid w:val="00F57F78"/>
    <w:rsid w:val="00F64977"/>
    <w:rsid w:val="00F677BB"/>
    <w:rsid w:val="00F734AB"/>
    <w:rsid w:val="00F833D2"/>
    <w:rsid w:val="00F84561"/>
    <w:rsid w:val="00FA5BC5"/>
    <w:rsid w:val="00FA7DD0"/>
    <w:rsid w:val="00FB7C71"/>
    <w:rsid w:val="00FC5C07"/>
    <w:rsid w:val="00FD18A9"/>
    <w:rsid w:val="00FD1BDF"/>
    <w:rsid w:val="00FD48A6"/>
    <w:rsid w:val="00FD51F8"/>
    <w:rsid w:val="00FE7155"/>
    <w:rsid w:val="00FE7C2C"/>
    <w:rsid w:val="00FF4ED2"/>
    <w:rsid w:val="00FF79D3"/>
    <w:rsid w:val="0F441DEE"/>
    <w:rsid w:val="149B6781"/>
    <w:rsid w:val="1BB0B583"/>
    <w:rsid w:val="1D0E1B07"/>
    <w:rsid w:val="34D8C0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9F2E1"/>
  <w15:chartTrackingRefBased/>
  <w15:docId w15:val="{87B26964-634F-4C49-9BB8-E71A840D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2CF8"/>
    <w:rPr>
      <w:rFonts w:ascii="Arial" w:hAnsi="Arial" w:cs="Arial"/>
      <w:sz w:val="24"/>
      <w:szCs w:val="24"/>
    </w:rPr>
  </w:style>
  <w:style w:type="paragraph" w:styleId="Heading1">
    <w:name w:val="heading 1"/>
    <w:basedOn w:val="Normal"/>
    <w:next w:val="Normal"/>
    <w:link w:val="Heading1Char"/>
    <w:autoRedefine/>
    <w:uiPriority w:val="9"/>
    <w:qFormat/>
    <w:rsid w:val="00FC5C07"/>
    <w:pPr>
      <w:spacing w:before="360" w:after="120" w:line="240" w:lineRule="auto"/>
      <w:outlineLvl w:val="0"/>
    </w:pPr>
    <w:rPr>
      <w:rFonts w:eastAsia="Times New Roman"/>
      <w:b/>
      <w:color w:val="293D8A"/>
      <w:kern w:val="0"/>
      <w:sz w:val="32"/>
      <w:szCs w:val="32"/>
      <w:lang w:eastAsia="ja-JP"/>
      <w14:ligatures w14:val="none"/>
    </w:rPr>
  </w:style>
  <w:style w:type="paragraph" w:styleId="Heading2">
    <w:name w:val="heading 2"/>
    <w:basedOn w:val="Normal"/>
    <w:next w:val="Normal"/>
    <w:link w:val="Heading2Char"/>
    <w:uiPriority w:val="9"/>
    <w:unhideWhenUsed/>
    <w:qFormat/>
    <w:rsid w:val="00B05C0C"/>
    <w:pPr>
      <w:keepNext/>
      <w:keepLines/>
      <w:autoSpaceDE w:val="0"/>
      <w:autoSpaceDN w:val="0"/>
      <w:adjustRightInd w:val="0"/>
      <w:spacing w:before="120" w:after="120" w:line="201" w:lineRule="atLeast"/>
      <w:outlineLvl w:val="1"/>
    </w:pPr>
    <w:rPr>
      <w:rFonts w:eastAsiaTheme="majorEastAsia"/>
      <w:b/>
      <w:bCs/>
      <w:kern w:val="0"/>
    </w:rPr>
  </w:style>
  <w:style w:type="paragraph" w:styleId="Heading3">
    <w:name w:val="heading 3"/>
    <w:basedOn w:val="Normal"/>
    <w:next w:val="Normal"/>
    <w:link w:val="Heading3Char"/>
    <w:uiPriority w:val="9"/>
    <w:unhideWhenUsed/>
    <w:qFormat/>
    <w:rsid w:val="00E03F9C"/>
    <w:pPr>
      <w:spacing w:before="120" w:after="120"/>
      <w:ind w:left="271" w:hanging="271"/>
      <w:outlineLvl w:val="2"/>
    </w:pPr>
    <w:rPr>
      <w:u w:val="single"/>
    </w:rPr>
  </w:style>
  <w:style w:type="paragraph" w:styleId="Heading4">
    <w:name w:val="heading 4"/>
    <w:basedOn w:val="Heading3"/>
    <w:next w:val="Normal"/>
    <w:link w:val="Heading4Char"/>
    <w:uiPriority w:val="9"/>
    <w:unhideWhenUsed/>
    <w:qFormat/>
    <w:rsid w:val="002168AE"/>
    <w:pPr>
      <w:autoSpaceDE w:val="0"/>
      <w:autoSpaceDN w:val="0"/>
      <w:adjustRightInd w:val="0"/>
      <w:spacing w:line="201" w:lineRule="atLeast"/>
      <w:ind w:left="0" w:firstLine="0"/>
      <w:outlineLvl w:val="3"/>
    </w:pPr>
    <w:rPr>
      <w:i/>
      <w:iCs/>
      <w:kern w:val="0"/>
      <w:u w: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5281F"/>
    <w:pPr>
      <w:numPr>
        <w:numId w:val="9"/>
      </w:numPr>
      <w:autoSpaceDE w:val="0"/>
      <w:autoSpaceDN w:val="0"/>
      <w:adjustRightInd w:val="0"/>
      <w:spacing w:before="120" w:after="120" w:line="201" w:lineRule="atLeast"/>
      <w:contextualSpacing/>
    </w:pPr>
    <w:rPr>
      <w:kern w:val="0"/>
      <w:szCs w:val="20"/>
    </w:rPr>
  </w:style>
  <w:style w:type="paragraph" w:styleId="BodyText">
    <w:name w:val="Body Text"/>
    <w:basedOn w:val="Normal"/>
    <w:link w:val="BodyTextChar"/>
    <w:uiPriority w:val="99"/>
    <w:semiHidden/>
    <w:unhideWhenUsed/>
    <w:rsid w:val="00575DC4"/>
    <w:pPr>
      <w:spacing w:after="120"/>
    </w:pPr>
  </w:style>
  <w:style w:type="character" w:styleId="BodyTextChar" w:customStyle="1">
    <w:name w:val="Body Text Char"/>
    <w:basedOn w:val="DefaultParagraphFont"/>
    <w:link w:val="BodyText"/>
    <w:uiPriority w:val="99"/>
    <w:semiHidden/>
    <w:rsid w:val="00575DC4"/>
  </w:style>
  <w:style w:type="paragraph" w:styleId="FootnoteText">
    <w:name w:val="footnote text"/>
    <w:basedOn w:val="Normal"/>
    <w:link w:val="FootnoteTextChar"/>
    <w:uiPriority w:val="99"/>
    <w:unhideWhenUsed/>
    <w:rsid w:val="00130714"/>
    <w:pPr>
      <w:spacing w:after="0" w:line="240" w:lineRule="auto"/>
    </w:pPr>
    <w:rPr>
      <w:sz w:val="20"/>
      <w:szCs w:val="20"/>
    </w:rPr>
  </w:style>
  <w:style w:type="character" w:styleId="FootnoteTextChar" w:customStyle="1">
    <w:name w:val="Footnote Text Char"/>
    <w:basedOn w:val="DefaultParagraphFont"/>
    <w:link w:val="FootnoteText"/>
    <w:uiPriority w:val="99"/>
    <w:rsid w:val="00130714"/>
    <w:rPr>
      <w:sz w:val="20"/>
      <w:szCs w:val="20"/>
    </w:rPr>
  </w:style>
  <w:style w:type="character" w:styleId="FootnoteReference">
    <w:name w:val="footnote reference"/>
    <w:basedOn w:val="DefaultParagraphFont"/>
    <w:uiPriority w:val="99"/>
    <w:semiHidden/>
    <w:unhideWhenUsed/>
    <w:rsid w:val="00130714"/>
    <w:rPr>
      <w:vertAlign w:val="superscript"/>
    </w:rPr>
  </w:style>
  <w:style w:type="paragraph" w:styleId="Header">
    <w:name w:val="header"/>
    <w:basedOn w:val="Normal"/>
    <w:link w:val="HeaderChar"/>
    <w:uiPriority w:val="99"/>
    <w:unhideWhenUsed/>
    <w:rsid w:val="00CE3C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CE3C14"/>
  </w:style>
  <w:style w:type="paragraph" w:styleId="Footer">
    <w:name w:val="footer"/>
    <w:basedOn w:val="Normal"/>
    <w:link w:val="FooterChar"/>
    <w:uiPriority w:val="99"/>
    <w:unhideWhenUsed/>
    <w:rsid w:val="00CE3C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CE3C14"/>
  </w:style>
  <w:style w:type="character" w:styleId="Heading1Char" w:customStyle="1">
    <w:name w:val="Heading 1 Char"/>
    <w:basedOn w:val="DefaultParagraphFont"/>
    <w:link w:val="Heading1"/>
    <w:uiPriority w:val="9"/>
    <w:rsid w:val="00FC5C07"/>
    <w:rPr>
      <w:rFonts w:ascii="Arial" w:hAnsi="Arial" w:eastAsia="Times New Roman" w:cs="Arial"/>
      <w:b/>
      <w:color w:val="293D8A"/>
      <w:kern w:val="0"/>
      <w:sz w:val="32"/>
      <w:szCs w:val="32"/>
      <w:lang w:eastAsia="ja-JP"/>
      <w14:ligatures w14:val="none"/>
    </w:rPr>
  </w:style>
  <w:style w:type="paragraph" w:styleId="Title">
    <w:name w:val="Title"/>
    <w:basedOn w:val="Heading1"/>
    <w:next w:val="Normal"/>
    <w:link w:val="TitleChar"/>
    <w:uiPriority w:val="10"/>
    <w:qFormat/>
    <w:rsid w:val="00992BBB"/>
    <w:rPr>
      <w:color w:val="auto"/>
    </w:rPr>
  </w:style>
  <w:style w:type="character" w:styleId="TitleChar" w:customStyle="1">
    <w:name w:val="Title Char"/>
    <w:basedOn w:val="DefaultParagraphFont"/>
    <w:link w:val="Title"/>
    <w:uiPriority w:val="10"/>
    <w:rsid w:val="00992BBB"/>
    <w:rPr>
      <w:rFonts w:ascii="Arial" w:hAnsi="Arial" w:eastAsia="Times New Roman" w:cs="Arial"/>
      <w:b/>
      <w:kern w:val="0"/>
      <w:sz w:val="32"/>
      <w:szCs w:val="32"/>
      <w:lang w:eastAsia="ja-JP"/>
      <w14:ligatures w14:val="none"/>
    </w:rPr>
  </w:style>
  <w:style w:type="character" w:styleId="Heading2Char" w:customStyle="1">
    <w:name w:val="Heading 2 Char"/>
    <w:basedOn w:val="DefaultParagraphFont"/>
    <w:link w:val="Heading2"/>
    <w:uiPriority w:val="9"/>
    <w:rsid w:val="00B05C0C"/>
    <w:rPr>
      <w:rFonts w:ascii="Arial" w:hAnsi="Arial" w:cs="Arial" w:eastAsiaTheme="majorEastAsia"/>
      <w:b/>
      <w:bCs/>
      <w:kern w:val="0"/>
      <w:sz w:val="24"/>
      <w:szCs w:val="24"/>
    </w:rPr>
  </w:style>
  <w:style w:type="character" w:styleId="Heading4Char" w:customStyle="1">
    <w:name w:val="Heading 4 Char"/>
    <w:basedOn w:val="DefaultParagraphFont"/>
    <w:link w:val="Heading4"/>
    <w:uiPriority w:val="9"/>
    <w:rsid w:val="002168AE"/>
    <w:rPr>
      <w:rFonts w:ascii="Arial" w:hAnsi="Arial" w:cs="Arial"/>
      <w:i/>
      <w:iCs/>
      <w:kern w:val="0"/>
      <w:sz w:val="24"/>
      <w:szCs w:val="24"/>
    </w:rPr>
  </w:style>
  <w:style w:type="character" w:styleId="Heading3Char" w:customStyle="1">
    <w:name w:val="Heading 3 Char"/>
    <w:basedOn w:val="DefaultParagraphFont"/>
    <w:link w:val="Heading3"/>
    <w:uiPriority w:val="9"/>
    <w:rsid w:val="00E03F9C"/>
    <w:rPr>
      <w:rFonts w:ascii="Arial"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5727">
      <w:bodyDiv w:val="1"/>
      <w:marLeft w:val="0"/>
      <w:marRight w:val="0"/>
      <w:marTop w:val="0"/>
      <w:marBottom w:val="0"/>
      <w:divBdr>
        <w:top w:val="none" w:sz="0" w:space="0" w:color="auto"/>
        <w:left w:val="none" w:sz="0" w:space="0" w:color="auto"/>
        <w:bottom w:val="none" w:sz="0" w:space="0" w:color="auto"/>
        <w:right w:val="none" w:sz="0" w:space="0" w:color="auto"/>
      </w:divBdr>
    </w:div>
    <w:div w:id="1805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ActivityTaxHTField xmlns="1213db41-97b1-4e79-9d48-1363723dd8dd">
      <Terms xmlns="http://schemas.microsoft.com/office/infopath/2007/PartnerControls"/>
    </BusinessActivityTaxHTField>
    <TaxCatchAll xmlns="1213db41-97b1-4e79-9d48-1363723dd8dd" xsi:nil="true"/>
    <lcf76f155ced4ddcb4097134ff3c332f xmlns="a59923e5-404c-4183-bdf5-44771fbb6e23">
      <Terms xmlns="http://schemas.microsoft.com/office/infopath/2007/PartnerControls"/>
    </lcf76f155ced4ddcb4097134ff3c332f>
    <DocumentTypeTaxHTField xmlns="1213db41-97b1-4e79-9d48-1363723dd8dd">
      <Terms xmlns="http://schemas.microsoft.com/office/infopath/2007/PartnerControls"/>
    </DocumentTypeTaxHTField>
    <_dlc_DocId xmlns="1213db41-97b1-4e79-9d48-1363723dd8dd">SW3NXXEYE322-726779519-1196</_dlc_DocId>
    <_dlc_DocIdUrl xmlns="1213db41-97b1-4e79-9d48-1363723dd8dd">
      <Url>https://ministryofjusticenz.sharepoint.com/sites/TAK/_layouts/15/DocIdRedir.aspx?ID=SW3NXXEYE322-726779519-1196</Url>
      <Description>SW3NXXEYE322-726779519-1196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AK Document" ma:contentTypeID="0x010100FBA44CD0FFE549439F2534A1419A0275010009BD54DA682B374B8BDDEB5AC265E947" ma:contentTypeVersion="13" ma:contentTypeDescription="default Te Aorerekura document" ma:contentTypeScope="" ma:versionID="ae626a3d6c310b6dc2a6f6caba8b2e51">
  <xsd:schema xmlns:xsd="http://www.w3.org/2001/XMLSchema" xmlns:xs="http://www.w3.org/2001/XMLSchema" xmlns:p="http://schemas.microsoft.com/office/2006/metadata/properties" xmlns:ns2="1213db41-97b1-4e79-9d48-1363723dd8dd" xmlns:ns3="a59923e5-404c-4183-bdf5-44771fbb6e23" targetNamespace="http://schemas.microsoft.com/office/2006/metadata/properties" ma:root="true" ma:fieldsID="8e3cd95073cf5ae42c157a8dd78a4d28" ns2:_="" ns3:_="">
    <xsd:import namespace="1213db41-97b1-4e79-9d48-1363723dd8dd"/>
    <xsd:import namespace="a59923e5-404c-4183-bdf5-44771fbb6e23"/>
    <xsd:element name="properties">
      <xsd:complexType>
        <xsd:sequence>
          <xsd:element name="documentManagement">
            <xsd:complexType>
              <xsd:all>
                <xsd:element ref="ns2:BusinessActivityTaxHTField" minOccurs="0"/>
                <xsd:element ref="ns2:TaxCatchAll" minOccurs="0"/>
                <xsd:element ref="ns2:TaxCatchAllLabel" minOccurs="0"/>
                <xsd:element ref="ns2:DocumentTypeTaxHTField"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BusinessActivityTaxHTField" ma:index="8" nillable="true" ma:taxonomy="true" ma:internalName="BusinessActivityTaxHTField" ma:taxonomyFieldName="BusinessActivity" ma:displayName="Business Activity" ma:default="" ma:fieldId="{7200db8e-df9d-470e-9048-5e152513962e}" ma:sspId="e1e2d475-dc97-41b9-a896-027d07f5a0e8" ma:termSetId="7fdcff37-7cb5-40ea-bfab-422af305800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eccc93-e384-4f64-ae11-a57ff2b8d54d}" ma:internalName="TaxCatchAll" ma:showField="CatchAllData" ma:web="1213db41-97b1-4e79-9d48-1363723dd8d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eccc93-e384-4f64-ae11-a57ff2b8d54d}" ma:internalName="TaxCatchAllLabel" ma:readOnly="true" ma:showField="CatchAllDataLabel" ma:web="1213db41-97b1-4e79-9d48-1363723dd8dd">
      <xsd:complexType>
        <xsd:complexContent>
          <xsd:extension base="dms:MultiChoiceLookup">
            <xsd:sequence>
              <xsd:element name="Value" type="dms:Lookup" maxOccurs="unbounded" minOccurs="0" nillable="true"/>
            </xsd:sequence>
          </xsd:extension>
        </xsd:complexContent>
      </xsd:complexType>
    </xsd:element>
    <xsd:element name="DocumentTypeTaxHTField" ma:index="12" nillable="true" ma:taxonomy="true" ma:internalName="DocumentTypeTaxHTField" ma:taxonomyFieldName="DocumentType" ma:displayName="Document Type" ma:default="" ma:fieldId="{c154f433-79f9-4288-b84e-2183f58207df}" ma:sspId="e1e2d475-dc97-41b9-a896-027d07f5a0e8" ma:termSetId="9a0f1dcf-5ff3-4310-bcf0-a07d8c551956"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923e5-404c-4183-bdf5-44771fbb6e23"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e2d475-dc97-41b9-a896-027d07f5a0e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E29DA-33C7-43E2-86CD-53254628743F}">
  <ds:schemaRefs>
    <ds:schemaRef ds:uri="a59923e5-404c-4183-bdf5-44771fbb6e23"/>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7FF9E28-C37E-4517-A345-0A71DB029165}">
  <ds:schemaRefs>
    <ds:schemaRef ds:uri="http://schemas.microsoft.com/sharepoint/v3/contenttype/forms"/>
  </ds:schemaRefs>
</ds:datastoreItem>
</file>

<file path=customXml/itemProps3.xml><?xml version="1.0" encoding="utf-8"?>
<ds:datastoreItem xmlns:ds="http://schemas.openxmlformats.org/officeDocument/2006/customXml" ds:itemID="{A965804C-6D2B-4186-ABF5-2FC28EB20498}">
  <ds:schemaRefs>
    <ds:schemaRef ds:uri="http://schemas.openxmlformats.org/officeDocument/2006/bibliography"/>
  </ds:schemaRefs>
</ds:datastoreItem>
</file>

<file path=customXml/itemProps4.xml><?xml version="1.0" encoding="utf-8"?>
<ds:datastoreItem xmlns:ds="http://schemas.openxmlformats.org/officeDocument/2006/customXml" ds:itemID="{D038F634-1CC9-44F1-87E4-6E6004B22C12}">
  <ds:schemaRefs>
    <ds:schemaRef ds:uri="http://schemas.microsoft.com/sharepoint/events"/>
  </ds:schemaRefs>
</ds:datastoreItem>
</file>

<file path=customXml/itemProps5.xml><?xml version="1.0" encoding="utf-8"?>
<ds:datastoreItem xmlns:ds="http://schemas.openxmlformats.org/officeDocument/2006/customXml" ds:itemID="{3321BC4C-8844-420D-92BF-7D089C19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a59923e5-404c-4183-bdf5-44771fbb6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Ranger, Laura</dc:creator>
  <keywords/>
  <dc:description/>
  <lastModifiedBy>Blackler, Holly</lastModifiedBy>
  <revision>447</revision>
  <dcterms:created xsi:type="dcterms:W3CDTF">2024-11-17T20:17:00.0000000Z</dcterms:created>
  <dcterms:modified xsi:type="dcterms:W3CDTF">2024-12-13T03:05:26.8497393Z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0x010100FBA44CD0FFE549439F2534A1419A0275010009BD54DA682B374B8BDDEB5AC265E947</vt:lpwstr>
  </property>
  <property fmtid="{D5CDD505-2E9C-101B-9397-08002B2CF9AE}" pid="3" name="_dlc_DocIdItemGuid">
    <vt:lpwstr>18a1b812-fe3a-4fdf-a602-734681c395fa</vt:lpwstr>
  </property>
  <property fmtid="{D5CDD505-2E9C-101B-9397-08002B2CF9AE}" pid="4" name="MediaServiceImageTags">
    <vt:lpwstr/>
  </property>
  <property fmtid="{D5CDD505-2E9C-101B-9397-08002B2CF9AE}" pid="5" name="DocumentType">
    <vt:lpwstr/>
  </property>
  <property fmtid="{D5CDD505-2E9C-101B-9397-08002B2CF9AE}" pid="6" name="BusinessActivity">
    <vt:lpwstr/>
  </property>
</Properties>
</file>